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7B4897" w14:textId="3A307DFC" w:rsidR="009477D0" w:rsidRPr="00124068" w:rsidRDefault="009477D0" w:rsidP="009477D0">
      <w:pPr>
        <w:spacing w:before="240" w:after="0"/>
        <w:jc w:val="both"/>
        <w:rPr>
          <w:b/>
          <w:color w:val="00A0DC"/>
          <w:sz w:val="36"/>
          <w:szCs w:val="36"/>
          <w:lang w:val="fr-FR"/>
        </w:rPr>
      </w:pPr>
      <w:r w:rsidRPr="00B45742">
        <w:rPr>
          <w:b/>
          <w:noProof/>
          <w:color w:val="00A0DC"/>
          <w:sz w:val="36"/>
          <w:szCs w:val="36"/>
          <w:lang w:val="fr-FR" w:eastAsia="fr-FR"/>
        </w:rPr>
        <w:drawing>
          <wp:anchor distT="0" distB="0" distL="114300" distR="114300" simplePos="0" relativeHeight="251663360" behindDoc="0" locked="0" layoutInCell="1" allowOverlap="1" wp14:anchorId="3CCF7030" wp14:editId="7D0FC3BD">
            <wp:simplePos x="0" y="0"/>
            <wp:positionH relativeFrom="margin">
              <wp:posOffset>0</wp:posOffset>
            </wp:positionH>
            <wp:positionV relativeFrom="paragraph">
              <wp:posOffset>154305</wp:posOffset>
            </wp:positionV>
            <wp:extent cx="606425" cy="59436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6425" cy="594360"/>
                    </a:xfrm>
                    <a:prstGeom prst="rect">
                      <a:avLst/>
                    </a:prstGeom>
                  </pic:spPr>
                </pic:pic>
              </a:graphicData>
            </a:graphic>
            <wp14:sizeRelH relativeFrom="margin">
              <wp14:pctWidth>0</wp14:pctWidth>
            </wp14:sizeRelH>
            <wp14:sizeRelV relativeFrom="margin">
              <wp14:pctHeight>0</wp14:pctHeight>
            </wp14:sizeRelV>
          </wp:anchor>
        </w:drawing>
      </w:r>
      <w:r w:rsidRPr="00124068">
        <w:rPr>
          <w:b/>
          <w:color w:val="00A0DC"/>
          <w:sz w:val="36"/>
          <w:szCs w:val="36"/>
          <w:lang w:val="fr-FR"/>
        </w:rPr>
        <w:t xml:space="preserve"> </w:t>
      </w:r>
      <w:r w:rsidR="00124068" w:rsidRPr="00124068">
        <w:rPr>
          <w:b/>
          <w:color w:val="00A0DC"/>
          <w:sz w:val="36"/>
          <w:szCs w:val="36"/>
          <w:lang w:val="fr-FR"/>
        </w:rPr>
        <w:t>Étape 2 : Planificati</w:t>
      </w:r>
      <w:r w:rsidR="00124068">
        <w:rPr>
          <w:b/>
          <w:color w:val="00A0DC"/>
          <w:sz w:val="36"/>
          <w:szCs w:val="36"/>
          <w:lang w:val="fr-FR"/>
        </w:rPr>
        <w:t>on stratégique des Réponse</w:t>
      </w:r>
      <w:r w:rsidR="004566BC">
        <w:rPr>
          <w:b/>
          <w:color w:val="00A0DC"/>
          <w:sz w:val="36"/>
          <w:szCs w:val="36"/>
          <w:lang w:val="fr-FR"/>
        </w:rPr>
        <w:t>s</w:t>
      </w:r>
    </w:p>
    <w:p w14:paraId="688E4348" w14:textId="67C4835A" w:rsidR="009477D0" w:rsidRPr="00124068" w:rsidRDefault="00124068" w:rsidP="009477D0">
      <w:pPr>
        <w:spacing w:after="0"/>
        <w:jc w:val="both"/>
        <w:rPr>
          <w:b/>
          <w:bCs/>
          <w:color w:val="00A0DC"/>
          <w:sz w:val="36"/>
          <w:szCs w:val="36"/>
          <w:lang w:val="fr-FR"/>
        </w:rPr>
      </w:pPr>
      <w:r w:rsidRPr="00124068">
        <w:rPr>
          <w:bCs/>
          <w:color w:val="00A0DC"/>
          <w:sz w:val="36"/>
          <w:szCs w:val="36"/>
          <w:lang w:val="fr-FR"/>
        </w:rPr>
        <w:t xml:space="preserve">Pratiques </w:t>
      </w:r>
      <w:r w:rsidR="0035109B" w:rsidRPr="00124068">
        <w:rPr>
          <w:bCs/>
          <w:color w:val="00A0DC"/>
          <w:sz w:val="36"/>
          <w:szCs w:val="36"/>
          <w:lang w:val="fr-FR"/>
        </w:rPr>
        <w:t xml:space="preserve">et ressources </w:t>
      </w:r>
      <w:r w:rsidRPr="00124068">
        <w:rPr>
          <w:bCs/>
          <w:color w:val="00A0DC"/>
          <w:sz w:val="36"/>
          <w:szCs w:val="36"/>
          <w:lang w:val="fr-FR"/>
        </w:rPr>
        <w:t xml:space="preserve">prometteuses des clusters pays  </w:t>
      </w:r>
    </w:p>
    <w:p w14:paraId="3E30D772" w14:textId="6802C9CA" w:rsidR="00124068" w:rsidRPr="00124068" w:rsidRDefault="00426D46" w:rsidP="00940BC5">
      <w:pPr>
        <w:spacing w:before="240"/>
        <w:jc w:val="both"/>
        <w:rPr>
          <w:bCs/>
          <w:lang w:val="fr-FR"/>
        </w:rPr>
      </w:pPr>
      <w:r w:rsidRPr="002D23F1">
        <w:rPr>
          <w:b/>
          <w:noProof/>
          <w:color w:val="006666"/>
          <w:lang w:val="fr-FR" w:eastAsia="fr-FR"/>
        </w:rPr>
        <mc:AlternateContent>
          <mc:Choice Requires="wps">
            <w:drawing>
              <wp:anchor distT="0" distB="0" distL="114300" distR="114300" simplePos="0" relativeHeight="251661312" behindDoc="0" locked="0" layoutInCell="1" allowOverlap="1" wp14:anchorId="668812B9" wp14:editId="3442F6D5">
                <wp:simplePos x="0" y="0"/>
                <wp:positionH relativeFrom="column">
                  <wp:posOffset>6968490</wp:posOffset>
                </wp:positionH>
                <wp:positionV relativeFrom="paragraph">
                  <wp:posOffset>817880</wp:posOffset>
                </wp:positionV>
                <wp:extent cx="257175" cy="472440"/>
                <wp:effectExtent l="19050" t="0" r="47625" b="22860"/>
                <wp:wrapNone/>
                <wp:docPr id="6" name="Arrow: Chevron 6"/>
                <wp:cNvGraphicFramePr/>
                <a:graphic xmlns:a="http://schemas.openxmlformats.org/drawingml/2006/main">
                  <a:graphicData uri="http://schemas.microsoft.com/office/word/2010/wordprocessingShape">
                    <wps:wsp>
                      <wps:cNvSpPr/>
                      <wps:spPr>
                        <a:xfrm>
                          <a:off x="0" y="0"/>
                          <a:ext cx="257175" cy="472440"/>
                        </a:xfrm>
                        <a:prstGeom prst="chevron">
                          <a:avLst/>
                        </a:prstGeom>
                        <a:solidFill>
                          <a:srgbClr val="00A0DC"/>
                        </a:solidFill>
                        <a:ln>
                          <a:solidFill>
                            <a:srgbClr val="00A0DC"/>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5994BE7B"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6" o:spid="_x0000_s1026" type="#_x0000_t55" style="position:absolute;margin-left:548.7pt;margin-top:64.4pt;width:20.25pt;height:3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" adj="10800" fillcolor="#00a0dc" strokecolor="#00a0dc" strokeweight=".5pt"/>
            </w:pict>
          </mc:Fallback>
        </mc:AlternateContent>
      </w:r>
      <w:r w:rsidRPr="002D23F1">
        <w:rPr>
          <w:b/>
          <w:noProof/>
          <w:color w:val="006666"/>
          <w:lang w:val="fr-FR" w:eastAsia="fr-FR"/>
        </w:rPr>
        <mc:AlternateContent>
          <mc:Choice Requires="wps">
            <w:drawing>
              <wp:anchor distT="0" distB="0" distL="114300" distR="114300" simplePos="0" relativeHeight="251659264" behindDoc="0" locked="0" layoutInCell="1" allowOverlap="1" wp14:anchorId="74BD4ADC" wp14:editId="14D009FC">
                <wp:simplePos x="0" y="0"/>
                <wp:positionH relativeFrom="column">
                  <wp:posOffset>689610</wp:posOffset>
                </wp:positionH>
                <wp:positionV relativeFrom="paragraph">
                  <wp:posOffset>810260</wp:posOffset>
                </wp:positionV>
                <wp:extent cx="257175" cy="480060"/>
                <wp:effectExtent l="19050" t="0" r="47625" b="15240"/>
                <wp:wrapNone/>
                <wp:docPr id="11" name="Arrow: Chevron 11"/>
                <wp:cNvGraphicFramePr/>
                <a:graphic xmlns:a="http://schemas.openxmlformats.org/drawingml/2006/main">
                  <a:graphicData uri="http://schemas.microsoft.com/office/word/2010/wordprocessingShape">
                    <wps:wsp>
                      <wps:cNvSpPr/>
                      <wps:spPr>
                        <a:xfrm>
                          <a:off x="0" y="0"/>
                          <a:ext cx="257175" cy="480060"/>
                        </a:xfrm>
                        <a:prstGeom prst="chevron">
                          <a:avLst/>
                        </a:prstGeom>
                        <a:solidFill>
                          <a:srgbClr val="00A0DC"/>
                        </a:solidFill>
                        <a:ln>
                          <a:solidFill>
                            <a:srgbClr val="00A0DC"/>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40C116C4" id="Arrow: Chevron 11" o:spid="_x0000_s1026" type="#_x0000_t55" style="position:absolute;margin-left:54.3pt;margin-top:63.8pt;width:20.25pt;height: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" adj="10800" fillcolor="#00a0dc" strokecolor="#00a0dc" strokeweight=".5pt"/>
            </w:pict>
          </mc:Fallback>
        </mc:AlternateContent>
      </w:r>
      <w:r w:rsidR="00124068" w:rsidRPr="00124068">
        <w:rPr>
          <w:bCs/>
          <w:lang w:val="fr-FR"/>
        </w:rPr>
        <w:t xml:space="preserve">Le tableau suivant contient les pratiques prometteuses de collaboration CP-EiE des groupes de pays et, le cas échéant, les ressources qu’ils ont utilisées. Les exemples sont classés selon la structure du </w:t>
      </w:r>
      <w:hyperlink r:id="rId9" w:history="1">
        <w:r w:rsidR="00124068" w:rsidRPr="00426D46">
          <w:rPr>
            <w:rStyle w:val="Hyperlink"/>
            <w:bCs/>
            <w:lang w:val="fr-FR"/>
          </w:rPr>
          <w:t>cadre de collaboration CP-EiE</w:t>
        </w:r>
      </w:hyperlink>
      <w:r w:rsidR="00124068" w:rsidRPr="00124068">
        <w:rPr>
          <w:bCs/>
          <w:lang w:val="fr-FR"/>
        </w:rPr>
        <w:t xml:space="preserve">. Les ressources mondiales liées à ces étapes sont incluses à la fin. </w:t>
      </w:r>
      <w:r w:rsidR="00124068" w:rsidRPr="009C32F2">
        <w:rPr>
          <w:bCs/>
          <w:i/>
          <w:lang w:val="fr-FR"/>
        </w:rPr>
        <w:t xml:space="preserve">Il s’agit d’une compilation vivante de pratiques prometteuses; si vous avez des exemples ou des outils à ajouter, </w:t>
      </w:r>
      <w:hyperlink r:id="rId10" w:history="1">
        <w:r w:rsidRPr="008A39B4">
          <w:rPr>
            <w:rStyle w:val="Hyperlink"/>
            <w:bCs/>
            <w:i/>
            <w:iCs/>
            <w:lang w:val="fr-FR"/>
          </w:rPr>
          <w:t>veuillez nous contacter </w:t>
        </w:r>
      </w:hyperlink>
      <w:r w:rsidRPr="009C4D1B">
        <w:rPr>
          <w:bCs/>
          <w:i/>
          <w:iCs/>
          <w:lang w:val="fr-FR"/>
        </w:rPr>
        <w:t>!</w:t>
      </w:r>
    </w:p>
    <w:tbl>
      <w:tblPr>
        <w:tblStyle w:val="TableGrid"/>
        <w:tblW w:w="5646" w:type="pct"/>
        <w:tblInd w:w="-866" w:type="dxa"/>
        <w:tblBorders>
          <w:top w:val="single" w:sz="12" w:space="0" w:color="00A0DC"/>
          <w:left w:val="single" w:sz="12" w:space="0" w:color="00A0DC"/>
          <w:bottom w:val="single" w:sz="12" w:space="0" w:color="00A0DC"/>
          <w:right w:val="single" w:sz="12" w:space="0" w:color="00A0DC"/>
          <w:insideH w:val="single" w:sz="12" w:space="0" w:color="00A0DC"/>
          <w:insideV w:val="single" w:sz="12" w:space="0" w:color="00A0DC"/>
        </w:tblBorders>
        <w:tblLayout w:type="fixed"/>
        <w:tblLook w:val="04A0" w:firstRow="1" w:lastRow="0" w:firstColumn="1" w:lastColumn="0" w:noHBand="0" w:noVBand="1"/>
      </w:tblPr>
      <w:tblGrid>
        <w:gridCol w:w="2126"/>
        <w:gridCol w:w="1986"/>
        <w:gridCol w:w="7937"/>
        <w:gridCol w:w="2552"/>
      </w:tblGrid>
      <w:tr w:rsidR="003814DE" w:rsidRPr="00124068" w14:paraId="485CFC1A" w14:textId="77777777" w:rsidTr="0066730E">
        <w:tc>
          <w:tcPr>
            <w:tcW w:w="728" w:type="pct"/>
          </w:tcPr>
          <w:p w14:paraId="477044A1" w14:textId="222524B9" w:rsidR="00124068" w:rsidRPr="00D942F0" w:rsidRDefault="00124068" w:rsidP="00426D46">
            <w:pPr>
              <w:jc w:val="center"/>
              <w:rPr>
                <w:b/>
                <w:color w:val="00A0DC"/>
                <w:sz w:val="20"/>
                <w:szCs w:val="20"/>
                <w:lang w:val="fr-FR"/>
              </w:rPr>
            </w:pPr>
            <w:r w:rsidRPr="00124068">
              <w:rPr>
                <w:b/>
                <w:color w:val="00A0DC"/>
                <w:sz w:val="20"/>
                <w:szCs w:val="20"/>
                <w:lang w:val="fr-FR"/>
              </w:rPr>
              <w:t xml:space="preserve">2a. Identifier les domaines de collaboration </w:t>
            </w:r>
          </w:p>
        </w:tc>
        <w:tc>
          <w:tcPr>
            <w:tcW w:w="680" w:type="pct"/>
          </w:tcPr>
          <w:p w14:paraId="18DC14A5" w14:textId="2588EE66" w:rsidR="00124068" w:rsidRPr="00124068" w:rsidRDefault="00426D46" w:rsidP="00124068">
            <w:pPr>
              <w:jc w:val="center"/>
              <w:rPr>
                <w:b/>
                <w:color w:val="00A0DC"/>
                <w:sz w:val="20"/>
                <w:szCs w:val="20"/>
                <w:lang w:val="fr-FR"/>
              </w:rPr>
            </w:pPr>
            <w:r w:rsidRPr="002D23F1">
              <w:rPr>
                <w:b/>
                <w:noProof/>
                <w:color w:val="006666"/>
                <w:lang w:val="fr-FR" w:eastAsia="fr-FR"/>
              </w:rPr>
              <mc:AlternateContent>
                <mc:Choice Requires="wps">
                  <w:drawing>
                    <wp:anchor distT="0" distB="0" distL="114300" distR="114300" simplePos="0" relativeHeight="251660288" behindDoc="0" locked="0" layoutInCell="1" allowOverlap="1" wp14:anchorId="654AA9AC" wp14:editId="52B57B0D">
                      <wp:simplePos x="0" y="0"/>
                      <wp:positionH relativeFrom="column">
                        <wp:posOffset>1053465</wp:posOffset>
                      </wp:positionH>
                      <wp:positionV relativeFrom="paragraph">
                        <wp:posOffset>-15240</wp:posOffset>
                      </wp:positionV>
                      <wp:extent cx="257175" cy="480060"/>
                      <wp:effectExtent l="19050" t="0" r="47625" b="15240"/>
                      <wp:wrapNone/>
                      <wp:docPr id="5" name="Arrow: Chevron 5"/>
                      <wp:cNvGraphicFramePr/>
                      <a:graphic xmlns:a="http://schemas.openxmlformats.org/drawingml/2006/main">
                        <a:graphicData uri="http://schemas.microsoft.com/office/word/2010/wordprocessingShape">
                          <wps:wsp>
                            <wps:cNvSpPr/>
                            <wps:spPr>
                              <a:xfrm>
                                <a:off x="0" y="0"/>
                                <a:ext cx="257175" cy="480060"/>
                              </a:xfrm>
                              <a:prstGeom prst="chevron">
                                <a:avLst/>
                              </a:prstGeom>
                              <a:solidFill>
                                <a:srgbClr val="00A0DC"/>
                              </a:solidFill>
                              <a:ln>
                                <a:solidFill>
                                  <a:srgbClr val="00A0DC"/>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10229B8B" id="Arrow: Chevron 5" o:spid="_x0000_s1026" type="#_x0000_t55" style="position:absolute;margin-left:82.95pt;margin-top:-1.2pt;width:20.25pt;height:37.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" adj="10800" fillcolor="#00a0dc" strokecolor="#00a0dc" strokeweight=".5pt"/>
                  </w:pict>
                </mc:Fallback>
              </mc:AlternateContent>
            </w:r>
            <w:r w:rsidR="00124068" w:rsidRPr="00124068">
              <w:rPr>
                <w:b/>
                <w:color w:val="00A0DC"/>
                <w:sz w:val="20"/>
                <w:szCs w:val="20"/>
                <w:lang w:val="fr-FR"/>
              </w:rPr>
              <w:t>2b. Accepter les r</w:t>
            </w:r>
            <w:r w:rsidR="009C32F2">
              <w:rPr>
                <w:b/>
                <w:color w:val="00A0DC"/>
                <w:sz w:val="20"/>
                <w:szCs w:val="20"/>
                <w:lang w:val="fr-FR"/>
              </w:rPr>
              <w:t>ôles et</w:t>
            </w:r>
            <w:r w:rsidR="00124068" w:rsidRPr="00124068">
              <w:rPr>
                <w:b/>
                <w:color w:val="00A0DC"/>
                <w:sz w:val="20"/>
                <w:szCs w:val="20"/>
                <w:lang w:val="fr-FR"/>
              </w:rPr>
              <w:t xml:space="preserve"> </w:t>
            </w:r>
          </w:p>
          <w:p w14:paraId="2BB84A46" w14:textId="1F373F6D" w:rsidR="00124068" w:rsidRPr="00124068" w:rsidRDefault="00124068" w:rsidP="00124068">
            <w:pPr>
              <w:jc w:val="center"/>
              <w:rPr>
                <w:b/>
                <w:color w:val="00A0DC"/>
                <w:sz w:val="20"/>
                <w:szCs w:val="20"/>
                <w:lang w:val="fr-FR"/>
              </w:rPr>
            </w:pPr>
            <w:r w:rsidRPr="00124068">
              <w:rPr>
                <w:b/>
                <w:color w:val="00A0DC"/>
                <w:sz w:val="20"/>
                <w:szCs w:val="20"/>
                <w:lang w:val="fr-FR"/>
              </w:rPr>
              <w:t>Responsabilités</w:t>
            </w:r>
            <w:r w:rsidRPr="00124068">
              <w:rPr>
                <w:b/>
                <w:noProof/>
                <w:color w:val="00A0DC"/>
                <w:sz w:val="20"/>
                <w:szCs w:val="20"/>
                <w:lang w:val="fr-FR" w:eastAsia="fr-FR"/>
              </w:rPr>
              <w:t xml:space="preserve"> </w:t>
            </w:r>
          </w:p>
        </w:tc>
        <w:tc>
          <w:tcPr>
            <w:tcW w:w="2718" w:type="pct"/>
            <w:vAlign w:val="center"/>
          </w:tcPr>
          <w:p w14:paraId="580623FD" w14:textId="05FEA4BA" w:rsidR="00124068" w:rsidRPr="00D942F0" w:rsidRDefault="00124068" w:rsidP="00426D46">
            <w:pPr>
              <w:jc w:val="center"/>
              <w:rPr>
                <w:b/>
                <w:color w:val="00A0DC"/>
                <w:sz w:val="20"/>
                <w:szCs w:val="20"/>
                <w:lang w:val="fr-FR"/>
              </w:rPr>
            </w:pPr>
            <w:r w:rsidRPr="00124068">
              <w:rPr>
                <w:b/>
                <w:color w:val="00A0DC"/>
                <w:sz w:val="20"/>
                <w:szCs w:val="20"/>
                <w:lang w:val="fr-FR"/>
              </w:rPr>
              <w:t xml:space="preserve">2c. Document dans les plans stratégiques </w:t>
            </w:r>
          </w:p>
        </w:tc>
        <w:tc>
          <w:tcPr>
            <w:tcW w:w="874" w:type="pct"/>
            <w:vAlign w:val="center"/>
          </w:tcPr>
          <w:p w14:paraId="7E9F8277" w14:textId="15022D0B" w:rsidR="00124068" w:rsidRPr="00124068" w:rsidRDefault="00124068" w:rsidP="00426D46">
            <w:pPr>
              <w:jc w:val="center"/>
              <w:rPr>
                <w:b/>
                <w:color w:val="00A0DC"/>
                <w:sz w:val="20"/>
                <w:szCs w:val="20"/>
                <w:lang w:val="fr-FR"/>
              </w:rPr>
            </w:pPr>
            <w:r w:rsidRPr="00124068">
              <w:rPr>
                <w:b/>
                <w:color w:val="00A0DC"/>
                <w:sz w:val="20"/>
                <w:szCs w:val="20"/>
                <w:lang w:val="fr-FR"/>
              </w:rPr>
              <w:t xml:space="preserve">2d. Formuler des indicateurs </w:t>
            </w:r>
          </w:p>
        </w:tc>
      </w:tr>
      <w:tr w:rsidR="003814DE" w:rsidRPr="00E71096" w14:paraId="1236AE1D" w14:textId="77777777" w:rsidTr="009477D0">
        <w:tc>
          <w:tcPr>
            <w:tcW w:w="728" w:type="pct"/>
          </w:tcPr>
          <w:p w14:paraId="6E5E1289" w14:textId="29FA0144" w:rsidR="00124068" w:rsidRPr="00426D46" w:rsidRDefault="00124068" w:rsidP="003814DE">
            <w:pPr>
              <w:spacing w:before="40" w:after="40"/>
              <w:rPr>
                <w:rFonts w:ascii="Calibri" w:eastAsia="Calibri" w:hAnsi="Calibri" w:cs="Times New Roman"/>
                <w:iCs/>
                <w:sz w:val="20"/>
                <w:szCs w:val="20"/>
                <w:u w:val="single"/>
                <w:lang w:val="fr-FR"/>
              </w:rPr>
            </w:pPr>
            <w:r w:rsidRPr="00426D46">
              <w:rPr>
                <w:rFonts w:ascii="Calibri" w:eastAsia="Calibri" w:hAnsi="Calibri" w:cs="Times New Roman"/>
                <w:iCs/>
                <w:sz w:val="20"/>
                <w:szCs w:val="20"/>
                <w:u w:val="single"/>
                <w:lang w:val="fr-FR"/>
              </w:rPr>
              <w:t xml:space="preserve">Intégration/matrices intersectorielles  </w:t>
            </w:r>
          </w:p>
          <w:p w14:paraId="1A6F8029" w14:textId="6C363E8F" w:rsidR="00102D37" w:rsidRPr="00426D46" w:rsidRDefault="00124068" w:rsidP="00E71096">
            <w:pPr>
              <w:pStyle w:val="ListParagraph"/>
              <w:numPr>
                <w:ilvl w:val="0"/>
                <w:numId w:val="11"/>
              </w:numPr>
              <w:spacing w:before="80" w:after="80"/>
              <w:ind w:left="453"/>
              <w:rPr>
                <w:sz w:val="20"/>
                <w:szCs w:val="20"/>
                <w:lang w:val="fr-FR"/>
              </w:rPr>
            </w:pPr>
            <w:r w:rsidRPr="00426D46">
              <w:rPr>
                <w:rFonts w:ascii="Calibri" w:eastAsia="Times New Roman" w:hAnsi="Calibri" w:cs="Times New Roman"/>
                <w:color w:val="000000"/>
                <w:sz w:val="20"/>
                <w:szCs w:val="20"/>
                <w:lang w:val="fr-FR"/>
              </w:rPr>
              <w:t xml:space="preserve">Exemple de </w:t>
            </w:r>
            <w:r w:rsidRPr="00426D46">
              <w:rPr>
                <w:rFonts w:ascii="Calibri" w:eastAsia="Times New Roman" w:hAnsi="Calibri" w:cs="Times New Roman"/>
                <w:color w:val="4472C4" w:themeColor="accent1"/>
                <w:sz w:val="20"/>
                <w:szCs w:val="20"/>
                <w:u w:val="single"/>
                <w:lang w:val="fr-FR"/>
              </w:rPr>
              <w:t>matrice intersectorielle</w:t>
            </w:r>
            <w:r w:rsidRPr="00426D46">
              <w:rPr>
                <w:rFonts w:ascii="Calibri" w:eastAsia="Times New Roman" w:hAnsi="Calibri" w:cs="Times New Roman"/>
                <w:color w:val="4472C4" w:themeColor="accent1"/>
                <w:sz w:val="20"/>
                <w:szCs w:val="20"/>
                <w:lang w:val="fr-FR"/>
              </w:rPr>
              <w:t xml:space="preserve"> </w:t>
            </w:r>
            <w:r w:rsidR="0082743E" w:rsidRPr="00426D46">
              <w:rPr>
                <w:rFonts w:ascii="Calibri" w:eastAsia="Times New Roman" w:hAnsi="Calibri" w:cs="Times New Roman"/>
                <w:color w:val="000000"/>
                <w:sz w:val="20"/>
                <w:szCs w:val="20"/>
                <w:lang w:val="fr-FR"/>
              </w:rPr>
              <w:t xml:space="preserve">pour appuyer </w:t>
            </w:r>
            <w:r w:rsidRPr="00426D46">
              <w:rPr>
                <w:rFonts w:ascii="Calibri" w:eastAsia="Times New Roman" w:hAnsi="Calibri" w:cs="Times New Roman"/>
                <w:color w:val="000000"/>
                <w:sz w:val="20"/>
                <w:szCs w:val="20"/>
                <w:lang w:val="fr-FR"/>
              </w:rPr>
              <w:t>le travail conjoint et clarifier les responsabilités entre les clusters (</w:t>
            </w:r>
            <w:r w:rsidRPr="00426D46">
              <w:rPr>
                <w:rFonts w:ascii="Calibri" w:eastAsia="Times New Roman" w:hAnsi="Calibri" w:cs="Times New Roman"/>
                <w:b/>
                <w:color w:val="000000"/>
                <w:sz w:val="20"/>
                <w:szCs w:val="20"/>
                <w:lang w:val="fr-FR"/>
              </w:rPr>
              <w:t>Soudan du Sud</w:t>
            </w:r>
            <w:r w:rsidRPr="00426D46">
              <w:rPr>
                <w:rFonts w:ascii="Calibri" w:eastAsia="Times New Roman" w:hAnsi="Calibri" w:cs="Times New Roman"/>
                <w:color w:val="000000"/>
                <w:sz w:val="20"/>
                <w:szCs w:val="20"/>
                <w:lang w:val="fr-FR"/>
              </w:rPr>
              <w:t xml:space="preserve">, 2016/17)     </w:t>
            </w:r>
          </w:p>
          <w:p w14:paraId="4B27FBBF" w14:textId="77777777" w:rsidR="00E71096" w:rsidRPr="00E71096" w:rsidRDefault="00124068" w:rsidP="00E71096">
            <w:pPr>
              <w:pStyle w:val="ListParagraph"/>
              <w:numPr>
                <w:ilvl w:val="0"/>
                <w:numId w:val="11"/>
              </w:numPr>
              <w:spacing w:before="80" w:after="80"/>
              <w:ind w:left="453"/>
              <w:rPr>
                <w:rFonts w:ascii="Calibri" w:eastAsia="Times New Roman" w:hAnsi="Calibri" w:cs="Times New Roman"/>
                <w:color w:val="000000"/>
                <w:sz w:val="20"/>
                <w:szCs w:val="20"/>
                <w:lang w:val="en-GB"/>
              </w:rPr>
            </w:pPr>
            <w:r w:rsidRPr="00426D46">
              <w:rPr>
                <w:sz w:val="20"/>
                <w:szCs w:val="20"/>
                <w:lang w:val="en-GB"/>
              </w:rPr>
              <w:t xml:space="preserve">Exemple de </w:t>
            </w:r>
            <w:r w:rsidRPr="00426D46">
              <w:rPr>
                <w:color w:val="4472C4" w:themeColor="accent1"/>
                <w:sz w:val="20"/>
                <w:szCs w:val="20"/>
                <w:lang w:val="en-GB"/>
              </w:rPr>
              <w:t xml:space="preserve">matrice Integration WASH-Education </w:t>
            </w:r>
            <w:r w:rsidRPr="00426D46">
              <w:rPr>
                <w:sz w:val="20"/>
                <w:szCs w:val="20"/>
                <w:lang w:val="en-GB"/>
              </w:rPr>
              <w:t>(</w:t>
            </w:r>
            <w:r w:rsidRPr="00426D46">
              <w:rPr>
                <w:b/>
                <w:sz w:val="20"/>
                <w:szCs w:val="20"/>
                <w:lang w:val="en-GB"/>
              </w:rPr>
              <w:t>Somalie</w:t>
            </w:r>
            <w:r w:rsidRPr="00426D46">
              <w:rPr>
                <w:sz w:val="20"/>
                <w:szCs w:val="20"/>
                <w:lang w:val="en-GB"/>
              </w:rPr>
              <w:t>)</w:t>
            </w:r>
          </w:p>
          <w:p w14:paraId="42945E97" w14:textId="276FC555" w:rsidR="00102D37" w:rsidRPr="00E71096" w:rsidRDefault="00E71096" w:rsidP="00E71096">
            <w:pPr>
              <w:pStyle w:val="ListParagraph"/>
              <w:numPr>
                <w:ilvl w:val="0"/>
                <w:numId w:val="11"/>
              </w:numPr>
              <w:spacing w:before="80" w:after="80"/>
              <w:ind w:left="284" w:hanging="284"/>
              <w:rPr>
                <w:rFonts w:ascii="Calibri" w:eastAsia="Times New Roman" w:hAnsi="Calibri" w:cs="Times New Roman"/>
                <w:color w:val="000000"/>
                <w:sz w:val="16"/>
                <w:szCs w:val="16"/>
                <w:lang w:val="fr-FR"/>
              </w:rPr>
            </w:pPr>
            <w:hyperlink r:id="rId11" w:history="1">
              <w:r w:rsidRPr="00E71096">
                <w:rPr>
                  <w:rStyle w:val="Hyperlink"/>
                  <w:rFonts w:ascii="Calibri" w:eastAsia="Times New Roman" w:hAnsi="Calibri" w:cs="Times New Roman"/>
                  <w:sz w:val="20"/>
                  <w:szCs w:val="20"/>
                  <w:lang w:val="fr-FR"/>
                </w:rPr>
                <w:t>Cadre d'action conjoint pour l'appui psychosocial et les enfants hors d'école</w:t>
              </w:r>
            </w:hyperlink>
            <w:r w:rsidRPr="00E71096">
              <w:rPr>
                <w:rFonts w:ascii="Calibri" w:eastAsia="Times New Roman" w:hAnsi="Calibri" w:cs="Times New Roman"/>
                <w:color w:val="000000"/>
                <w:sz w:val="20"/>
                <w:szCs w:val="20"/>
                <w:lang w:val="fr-FR"/>
              </w:rPr>
              <w:t xml:space="preserve"> (</w:t>
            </w:r>
            <w:r w:rsidRPr="00E71096">
              <w:rPr>
                <w:rFonts w:ascii="Calibri" w:eastAsia="Times New Roman" w:hAnsi="Calibri" w:cs="Times New Roman"/>
                <w:b/>
                <w:bCs/>
                <w:color w:val="000000"/>
                <w:sz w:val="20"/>
                <w:szCs w:val="20"/>
                <w:lang w:val="fr-FR"/>
              </w:rPr>
              <w:t>Venezuela</w:t>
            </w:r>
            <w:r w:rsidRPr="00E71096">
              <w:rPr>
                <w:rFonts w:ascii="Calibri" w:eastAsia="Times New Roman" w:hAnsi="Calibri" w:cs="Times New Roman"/>
                <w:color w:val="000000"/>
                <w:sz w:val="20"/>
                <w:szCs w:val="20"/>
                <w:lang w:val="fr-FR"/>
              </w:rPr>
              <w:t xml:space="preserve">) </w:t>
            </w:r>
            <w:r w:rsidR="00124068" w:rsidRPr="00E71096">
              <w:rPr>
                <w:sz w:val="20"/>
                <w:szCs w:val="20"/>
                <w:lang w:val="fr-FR"/>
              </w:rPr>
              <w:t xml:space="preserve">   </w:t>
            </w:r>
          </w:p>
          <w:p w14:paraId="21095532" w14:textId="18119233" w:rsidR="00124068" w:rsidRPr="00426D46" w:rsidRDefault="0082743E" w:rsidP="00124068">
            <w:pPr>
              <w:spacing w:after="160" w:line="259" w:lineRule="auto"/>
              <w:rPr>
                <w:rFonts w:ascii="Calibri" w:eastAsia="Calibri" w:hAnsi="Calibri" w:cs="Calibri"/>
                <w:i/>
                <w:iCs/>
                <w:color w:val="FF0000"/>
                <w:sz w:val="20"/>
                <w:szCs w:val="20"/>
                <w:lang w:val="fr-FR"/>
              </w:rPr>
            </w:pPr>
            <w:r w:rsidRPr="00426D46">
              <w:rPr>
                <w:rFonts w:ascii="Calibri" w:eastAsia="Calibri" w:hAnsi="Calibri" w:cs="Calibri"/>
                <w:i/>
                <w:iCs/>
                <w:sz w:val="20"/>
                <w:szCs w:val="20"/>
                <w:lang w:val="fr-FR"/>
              </w:rPr>
              <w:t>L</w:t>
            </w:r>
            <w:r w:rsidR="000F1388" w:rsidRPr="00426D46">
              <w:rPr>
                <w:rFonts w:ascii="Calibri" w:eastAsia="Calibri" w:hAnsi="Calibri" w:cs="Calibri"/>
                <w:i/>
                <w:iCs/>
                <w:sz w:val="20"/>
                <w:szCs w:val="20"/>
                <w:lang w:val="fr-FR"/>
              </w:rPr>
              <w:t>es directriv</w:t>
            </w:r>
            <w:r w:rsidR="00124068" w:rsidRPr="00426D46">
              <w:rPr>
                <w:rFonts w:ascii="Calibri" w:eastAsia="Calibri" w:hAnsi="Calibri" w:cs="Calibri"/>
                <w:i/>
                <w:iCs/>
                <w:sz w:val="20"/>
                <w:szCs w:val="20"/>
                <w:lang w:val="fr-FR"/>
              </w:rPr>
              <w:t xml:space="preserve">es sur l’intégration </w:t>
            </w:r>
            <w:r w:rsidRPr="00426D46">
              <w:rPr>
                <w:rFonts w:ascii="Calibri" w:eastAsia="Calibri" w:hAnsi="Calibri" w:cs="Calibri"/>
                <w:i/>
                <w:iCs/>
                <w:sz w:val="20"/>
                <w:szCs w:val="20"/>
                <w:lang w:val="fr-FR"/>
              </w:rPr>
              <w:t xml:space="preserve">sont </w:t>
            </w:r>
            <w:r w:rsidR="00124068" w:rsidRPr="00426D46">
              <w:rPr>
                <w:rFonts w:ascii="Calibri" w:eastAsia="Calibri" w:hAnsi="Calibri" w:cs="Calibri"/>
                <w:i/>
                <w:iCs/>
                <w:sz w:val="20"/>
                <w:szCs w:val="20"/>
                <w:lang w:val="fr-FR"/>
              </w:rPr>
              <w:t>examinées plus en détail à l’</w:t>
            </w:r>
            <w:r w:rsidR="00124068" w:rsidRPr="00426D46">
              <w:rPr>
                <w:rFonts w:ascii="Calibri" w:eastAsia="Calibri" w:hAnsi="Calibri" w:cs="Calibri"/>
                <w:i/>
                <w:iCs/>
                <w:color w:val="C00000"/>
                <w:sz w:val="20"/>
                <w:szCs w:val="20"/>
                <w:lang w:val="fr-FR"/>
              </w:rPr>
              <w:t xml:space="preserve">étape 4 : Mise en œuvre et suivi </w:t>
            </w:r>
            <w:r w:rsidR="00124068" w:rsidRPr="00426D46">
              <w:rPr>
                <w:rFonts w:ascii="Calibri" w:eastAsia="Calibri" w:hAnsi="Calibri" w:cs="Calibri"/>
                <w:i/>
                <w:iCs/>
                <w:color w:val="C00000"/>
                <w:sz w:val="20"/>
                <w:szCs w:val="20"/>
                <w:lang w:val="fr-FR"/>
              </w:rPr>
              <w:lastRenderedPageBreak/>
              <w:t xml:space="preserve">conjoints, et évaluation de la collaboration     </w:t>
            </w:r>
          </w:p>
          <w:p w14:paraId="17651B8A" w14:textId="7E162DE9" w:rsidR="00102D37" w:rsidRPr="00426D46" w:rsidRDefault="00427DD6" w:rsidP="00124068">
            <w:pPr>
              <w:spacing w:after="160" w:line="259" w:lineRule="auto"/>
              <w:rPr>
                <w:rFonts w:ascii="Calibri" w:eastAsia="Calibri" w:hAnsi="Calibri" w:cs="Times New Roman"/>
                <w:iCs/>
                <w:sz w:val="20"/>
                <w:szCs w:val="20"/>
                <w:lang w:val="fr-FR"/>
              </w:rPr>
            </w:pPr>
            <w:hyperlink r:id="rId12" w:history="1"/>
          </w:p>
        </w:tc>
        <w:tc>
          <w:tcPr>
            <w:tcW w:w="680" w:type="pct"/>
          </w:tcPr>
          <w:p w14:paraId="50A66198" w14:textId="61D84C00" w:rsidR="0040497E" w:rsidRPr="00426D46" w:rsidRDefault="008061BC" w:rsidP="002D23F1">
            <w:pPr>
              <w:spacing w:before="80" w:after="80"/>
              <w:rPr>
                <w:sz w:val="20"/>
                <w:szCs w:val="20"/>
                <w:lang w:val="fr-FR"/>
              </w:rPr>
            </w:pPr>
            <w:r w:rsidRPr="00426D46">
              <w:rPr>
                <w:color w:val="4472C4" w:themeColor="accent1"/>
                <w:sz w:val="20"/>
                <w:szCs w:val="20"/>
                <w:u w:val="single"/>
                <w:lang w:val="fr-FR"/>
              </w:rPr>
              <w:lastRenderedPageBreak/>
              <w:t>Le plan de transition en matière d’éducation</w:t>
            </w:r>
            <w:r w:rsidRPr="00426D46">
              <w:rPr>
                <w:color w:val="4472C4" w:themeColor="accent1"/>
                <w:sz w:val="20"/>
                <w:szCs w:val="20"/>
                <w:lang w:val="fr-FR"/>
              </w:rPr>
              <w:t xml:space="preserve"> </w:t>
            </w:r>
            <w:r w:rsidRPr="00426D46">
              <w:rPr>
                <w:sz w:val="20"/>
                <w:szCs w:val="20"/>
                <w:lang w:val="fr-FR"/>
              </w:rPr>
              <w:t>décrit les modalités de partenariat avec les acteurs du C</w:t>
            </w:r>
            <w:r w:rsidR="00FA3E3E" w:rsidRPr="00426D46">
              <w:rPr>
                <w:sz w:val="20"/>
                <w:szCs w:val="20"/>
                <w:lang w:val="fr-FR"/>
              </w:rPr>
              <w:t xml:space="preserve">luster </w:t>
            </w:r>
            <w:r w:rsidRPr="00426D46">
              <w:rPr>
                <w:sz w:val="20"/>
                <w:szCs w:val="20"/>
                <w:lang w:val="fr-FR"/>
              </w:rPr>
              <w:t>P</w:t>
            </w:r>
            <w:r w:rsidR="00FA3E3E" w:rsidRPr="00426D46">
              <w:rPr>
                <w:sz w:val="20"/>
                <w:szCs w:val="20"/>
                <w:lang w:val="fr-FR"/>
              </w:rPr>
              <w:t>rotection</w:t>
            </w:r>
            <w:r w:rsidRPr="00426D46">
              <w:rPr>
                <w:sz w:val="20"/>
                <w:szCs w:val="20"/>
                <w:lang w:val="fr-FR"/>
              </w:rPr>
              <w:t xml:space="preserve"> pour la prestat</w:t>
            </w:r>
            <w:r w:rsidR="0040497E" w:rsidRPr="00426D46">
              <w:rPr>
                <w:sz w:val="20"/>
                <w:szCs w:val="20"/>
                <w:lang w:val="fr-FR"/>
              </w:rPr>
              <w:t xml:space="preserve">ion </w:t>
            </w:r>
            <w:r w:rsidR="00447582" w:rsidRPr="00426D46">
              <w:rPr>
                <w:sz w:val="20"/>
                <w:szCs w:val="20"/>
                <w:lang w:val="fr-FR"/>
              </w:rPr>
              <w:t xml:space="preserve">des </w:t>
            </w:r>
            <w:r w:rsidR="0040497E" w:rsidRPr="00426D46">
              <w:rPr>
                <w:sz w:val="20"/>
                <w:szCs w:val="20"/>
                <w:lang w:val="fr-FR"/>
              </w:rPr>
              <w:t xml:space="preserve">PSS dans les </w:t>
            </w:r>
            <w:r w:rsidRPr="00426D46">
              <w:rPr>
                <w:sz w:val="20"/>
                <w:szCs w:val="20"/>
                <w:lang w:val="fr-FR"/>
              </w:rPr>
              <w:t xml:space="preserve">environnements d’apprentissage non formels (Iraq)     </w:t>
            </w:r>
          </w:p>
          <w:p w14:paraId="3366F95B" w14:textId="77777777" w:rsidR="002D23F1" w:rsidRPr="00426D46" w:rsidRDefault="002D23F1" w:rsidP="002D23F1">
            <w:pPr>
              <w:spacing w:before="80" w:after="80"/>
              <w:rPr>
                <w:rFonts w:ascii="Calibri" w:eastAsia="Times New Roman" w:hAnsi="Calibri" w:cs="Times New Roman"/>
                <w:b/>
                <w:color w:val="000000"/>
                <w:sz w:val="20"/>
                <w:szCs w:val="20"/>
                <w:lang w:val="fr-FR"/>
              </w:rPr>
            </w:pPr>
          </w:p>
          <w:p w14:paraId="21945318" w14:textId="6B39D6B2" w:rsidR="00551C0B" w:rsidRPr="00426D46" w:rsidRDefault="0040497E" w:rsidP="002D23F1">
            <w:pPr>
              <w:spacing w:before="80" w:after="80"/>
              <w:rPr>
                <w:rFonts w:ascii="Calibri" w:eastAsia="Times New Roman" w:hAnsi="Calibri" w:cs="Times New Roman"/>
                <w:b/>
                <w:color w:val="000000"/>
                <w:sz w:val="20"/>
                <w:szCs w:val="20"/>
                <w:lang w:val="fr-FR"/>
              </w:rPr>
            </w:pPr>
            <w:r w:rsidRPr="00426D46">
              <w:rPr>
                <w:rFonts w:ascii="Calibri" w:eastAsia="Times New Roman" w:hAnsi="Calibri" w:cs="Times New Roman"/>
                <w:b/>
                <w:color w:val="000000"/>
                <w:sz w:val="20"/>
                <w:szCs w:val="20"/>
                <w:lang w:val="fr-FR"/>
              </w:rPr>
              <w:t>Le Package Minimum du Cluster Protection pour les zones urbaines reprises de 2017 de l’Irak fournit des orientations sur la planification collaborative de la reponse, y compris dans les espaces polyvalents; le Cluster Education en Iraq faisait partie du WG pour élaborer ce projet (</w:t>
            </w:r>
            <w:r w:rsidRPr="00426D46">
              <w:rPr>
                <w:rFonts w:ascii="Calibri" w:eastAsia="Times New Roman" w:hAnsi="Calibri" w:cs="Times New Roman"/>
                <w:b/>
                <w:color w:val="C00000"/>
                <w:sz w:val="20"/>
                <w:szCs w:val="20"/>
                <w:lang w:val="fr-FR"/>
              </w:rPr>
              <w:t xml:space="preserve">voir l’étape 4 : Mise en œuvre et </w:t>
            </w:r>
            <w:r w:rsidRPr="00426D46">
              <w:rPr>
                <w:rFonts w:ascii="Calibri" w:eastAsia="Times New Roman" w:hAnsi="Calibri" w:cs="Times New Roman"/>
                <w:b/>
                <w:color w:val="C00000"/>
                <w:sz w:val="20"/>
                <w:szCs w:val="20"/>
                <w:lang w:val="fr-FR"/>
              </w:rPr>
              <w:lastRenderedPageBreak/>
              <w:t>suivi conjoints, et évaluation de la collaboration</w:t>
            </w:r>
            <w:r w:rsidR="00DF10DB" w:rsidRPr="00426D46">
              <w:rPr>
                <w:rFonts w:ascii="Calibri" w:eastAsia="Times New Roman" w:hAnsi="Calibri" w:cs="Times New Roman"/>
                <w:b/>
                <w:color w:val="C00000"/>
                <w:sz w:val="20"/>
                <w:szCs w:val="20"/>
                <w:lang w:val="fr-FR"/>
              </w:rPr>
              <w:t>)</w:t>
            </w:r>
            <w:r w:rsidRPr="00426D46">
              <w:rPr>
                <w:rFonts w:ascii="Calibri" w:eastAsia="Times New Roman" w:hAnsi="Calibri" w:cs="Times New Roman"/>
                <w:b/>
                <w:color w:val="C00000"/>
                <w:sz w:val="20"/>
                <w:szCs w:val="20"/>
                <w:lang w:val="fr-FR"/>
              </w:rPr>
              <w:t xml:space="preserve">          </w:t>
            </w:r>
          </w:p>
          <w:p w14:paraId="17DC6AFF" w14:textId="77777777" w:rsidR="00DF10DB" w:rsidRPr="00426D46" w:rsidRDefault="00DF10DB" w:rsidP="002D23F1">
            <w:pPr>
              <w:spacing w:before="80" w:after="80"/>
              <w:rPr>
                <w:rFonts w:ascii="Calibri" w:eastAsia="Times New Roman" w:hAnsi="Calibri" w:cs="Times New Roman"/>
                <w:b/>
                <w:color w:val="000000"/>
                <w:sz w:val="20"/>
                <w:szCs w:val="20"/>
                <w:lang w:val="fr-FR"/>
              </w:rPr>
            </w:pPr>
          </w:p>
          <w:p w14:paraId="309EB8B6" w14:textId="43B8BD06" w:rsidR="003814DE" w:rsidRPr="00426D46" w:rsidRDefault="003814DE" w:rsidP="003814DE">
            <w:pPr>
              <w:spacing w:before="40" w:after="40"/>
              <w:rPr>
                <w:color w:val="008080"/>
                <w:sz w:val="20"/>
                <w:szCs w:val="20"/>
                <w:lang w:val="fr-FR"/>
              </w:rPr>
            </w:pPr>
          </w:p>
        </w:tc>
        <w:tc>
          <w:tcPr>
            <w:tcW w:w="2718" w:type="pct"/>
          </w:tcPr>
          <w:p w14:paraId="3C162F7A" w14:textId="3ED4EBCD" w:rsidR="003814DE" w:rsidRPr="00426D46" w:rsidRDefault="00184C60" w:rsidP="003814DE">
            <w:pPr>
              <w:spacing w:before="40" w:after="80"/>
              <w:rPr>
                <w:sz w:val="20"/>
                <w:szCs w:val="20"/>
                <w:u w:val="single"/>
                <w:lang w:val="fr-FR"/>
              </w:rPr>
            </w:pPr>
            <w:r w:rsidRPr="00426D46">
              <w:rPr>
                <w:sz w:val="20"/>
                <w:szCs w:val="20"/>
                <w:u w:val="single"/>
                <w:lang w:val="fr-FR"/>
              </w:rPr>
              <w:lastRenderedPageBreak/>
              <w:t>Élaboration d’une stratégie conjo</w:t>
            </w:r>
            <w:r w:rsidR="001265B1" w:rsidRPr="00426D46">
              <w:rPr>
                <w:sz w:val="20"/>
                <w:szCs w:val="20"/>
                <w:u w:val="single"/>
                <w:lang w:val="fr-FR"/>
              </w:rPr>
              <w:t>inte et</w:t>
            </w:r>
            <w:r w:rsidRPr="00426D46">
              <w:rPr>
                <w:sz w:val="20"/>
                <w:szCs w:val="20"/>
                <w:u w:val="single"/>
                <w:lang w:val="fr-FR"/>
              </w:rPr>
              <w:t xml:space="preserve"> d’un plan de réponse  </w:t>
            </w:r>
          </w:p>
          <w:p w14:paraId="3A282427" w14:textId="242AA7C9" w:rsidR="003814DE" w:rsidRPr="00426D46" w:rsidRDefault="001265B1" w:rsidP="00184C60">
            <w:pPr>
              <w:pStyle w:val="ListParagraph"/>
              <w:numPr>
                <w:ilvl w:val="0"/>
                <w:numId w:val="11"/>
              </w:numPr>
              <w:spacing w:before="80" w:after="80"/>
              <w:rPr>
                <w:sz w:val="20"/>
                <w:szCs w:val="20"/>
                <w:lang w:val="fr-FR"/>
              </w:rPr>
            </w:pPr>
            <w:r w:rsidRPr="00426D46">
              <w:rPr>
                <w:color w:val="4472C4" w:themeColor="accent1"/>
                <w:sz w:val="20"/>
                <w:szCs w:val="20"/>
                <w:u w:val="single"/>
                <w:lang w:val="fr-FR"/>
              </w:rPr>
              <w:t xml:space="preserve">Education intégrée - Cadre d’intervention </w:t>
            </w:r>
            <w:r w:rsidR="00184C60" w:rsidRPr="00426D46">
              <w:rPr>
                <w:color w:val="4472C4" w:themeColor="accent1"/>
                <w:sz w:val="20"/>
                <w:szCs w:val="20"/>
                <w:u w:val="single"/>
                <w:lang w:val="fr-FR"/>
              </w:rPr>
              <w:t>en matière d’</w:t>
            </w:r>
            <w:r w:rsidRPr="00426D46">
              <w:rPr>
                <w:color w:val="4472C4" w:themeColor="accent1"/>
                <w:sz w:val="20"/>
                <w:szCs w:val="20"/>
                <w:u w:val="single"/>
                <w:lang w:val="fr-FR"/>
              </w:rPr>
              <w:t xml:space="preserve">éducation </w:t>
            </w:r>
            <w:r w:rsidR="00E056A3" w:rsidRPr="00426D46">
              <w:rPr>
                <w:color w:val="4472C4" w:themeColor="accent1"/>
                <w:sz w:val="20"/>
                <w:szCs w:val="20"/>
                <w:u w:val="single"/>
                <w:lang w:val="fr-FR"/>
              </w:rPr>
              <w:t>de protection des enfants</w:t>
            </w:r>
            <w:r w:rsidR="00184C60" w:rsidRPr="00426D46">
              <w:rPr>
                <w:color w:val="4472C4" w:themeColor="accent1"/>
                <w:sz w:val="20"/>
                <w:szCs w:val="20"/>
                <w:lang w:val="fr-FR"/>
              </w:rPr>
              <w:t xml:space="preserve"> </w:t>
            </w:r>
            <w:r w:rsidR="00184C60" w:rsidRPr="00426D46">
              <w:rPr>
                <w:b/>
                <w:sz w:val="20"/>
                <w:szCs w:val="20"/>
                <w:lang w:val="fr-FR"/>
              </w:rPr>
              <w:t>(Somalie)</w:t>
            </w:r>
            <w:r w:rsidR="00184C60" w:rsidRPr="00426D46">
              <w:rPr>
                <w:sz w:val="20"/>
                <w:szCs w:val="20"/>
                <w:lang w:val="fr-FR"/>
              </w:rPr>
              <w:t xml:space="preserve">  </w:t>
            </w:r>
          </w:p>
          <w:p w14:paraId="1C9BB248" w14:textId="2D2F5EE0" w:rsidR="003814DE" w:rsidRPr="00426D46" w:rsidRDefault="00184C60" w:rsidP="007225A3">
            <w:pPr>
              <w:pStyle w:val="ListParagraph"/>
              <w:numPr>
                <w:ilvl w:val="0"/>
                <w:numId w:val="11"/>
              </w:numPr>
              <w:spacing w:before="80" w:after="80"/>
              <w:rPr>
                <w:sz w:val="20"/>
                <w:szCs w:val="20"/>
                <w:lang w:val="fr-FR"/>
              </w:rPr>
            </w:pPr>
            <w:r w:rsidRPr="00426D46">
              <w:rPr>
                <w:sz w:val="20"/>
                <w:szCs w:val="20"/>
                <w:lang w:val="fr-FR"/>
              </w:rPr>
              <w:t>L</w:t>
            </w:r>
            <w:r w:rsidR="007225A3" w:rsidRPr="00426D46">
              <w:rPr>
                <w:sz w:val="20"/>
                <w:szCs w:val="20"/>
                <w:lang w:val="fr-FR"/>
              </w:rPr>
              <w:t>es coordonnateurs d</w:t>
            </w:r>
            <w:r w:rsidR="00A62C62" w:rsidRPr="00426D46">
              <w:rPr>
                <w:sz w:val="20"/>
                <w:szCs w:val="20"/>
                <w:lang w:val="fr-FR"/>
              </w:rPr>
              <w:t>u</w:t>
            </w:r>
            <w:r w:rsidR="007225A3" w:rsidRPr="00426D46">
              <w:rPr>
                <w:sz w:val="20"/>
                <w:szCs w:val="20"/>
                <w:lang w:val="fr-FR"/>
              </w:rPr>
              <w:t xml:space="preserve"> Cluster Education</w:t>
            </w:r>
            <w:r w:rsidRPr="00426D46">
              <w:rPr>
                <w:sz w:val="20"/>
                <w:szCs w:val="20"/>
                <w:lang w:val="fr-FR"/>
              </w:rPr>
              <w:t xml:space="preserve"> et </w:t>
            </w:r>
            <w:r w:rsidR="007225A3" w:rsidRPr="00426D46">
              <w:rPr>
                <w:sz w:val="20"/>
                <w:szCs w:val="20"/>
                <w:lang w:val="fr-FR"/>
              </w:rPr>
              <w:t xml:space="preserve">du </w:t>
            </w:r>
            <w:r w:rsidRPr="00426D46">
              <w:rPr>
                <w:sz w:val="20"/>
                <w:szCs w:val="20"/>
                <w:lang w:val="fr-FR"/>
              </w:rPr>
              <w:t>C</w:t>
            </w:r>
            <w:r w:rsidR="007225A3" w:rsidRPr="00426D46">
              <w:rPr>
                <w:sz w:val="20"/>
                <w:szCs w:val="20"/>
                <w:lang w:val="fr-FR"/>
              </w:rPr>
              <w:t>luster Protection</w:t>
            </w:r>
            <w:r w:rsidR="00F160AB" w:rsidRPr="00426D46">
              <w:rPr>
                <w:sz w:val="20"/>
                <w:szCs w:val="20"/>
                <w:lang w:val="fr-FR"/>
              </w:rPr>
              <w:t xml:space="preserve"> ont convenu avec le Coordonnateur Humanitaire</w:t>
            </w:r>
            <w:r w:rsidRPr="00426D46">
              <w:rPr>
                <w:sz w:val="20"/>
                <w:szCs w:val="20"/>
                <w:lang w:val="fr-FR"/>
              </w:rPr>
              <w:t xml:space="preserve"> qu’ils travaillent à une </w:t>
            </w:r>
            <w:r w:rsidR="007225A3" w:rsidRPr="00426D46">
              <w:rPr>
                <w:b/>
                <w:color w:val="4472C4" w:themeColor="accent1"/>
                <w:sz w:val="20"/>
                <w:szCs w:val="20"/>
                <w:u w:val="single"/>
                <w:lang w:val="fr-FR"/>
              </w:rPr>
              <w:t>stratégie conjointe pour le</w:t>
            </w:r>
            <w:r w:rsidR="00E60098" w:rsidRPr="00426D46">
              <w:rPr>
                <w:b/>
                <w:color w:val="4472C4" w:themeColor="accent1"/>
                <w:sz w:val="20"/>
                <w:szCs w:val="20"/>
                <w:u w:val="single"/>
                <w:lang w:val="fr-FR"/>
              </w:rPr>
              <w:t xml:space="preserve"> Fond Commun Humanitaire</w:t>
            </w:r>
            <w:r w:rsidR="007225A3" w:rsidRPr="00426D46">
              <w:rPr>
                <w:b/>
                <w:color w:val="4472C4" w:themeColor="accent1"/>
                <w:sz w:val="20"/>
                <w:szCs w:val="20"/>
                <w:u w:val="single"/>
                <w:lang w:val="fr-FR"/>
              </w:rPr>
              <w:t xml:space="preserve"> </w:t>
            </w:r>
            <w:r w:rsidR="00E60098" w:rsidRPr="00426D46">
              <w:rPr>
                <w:b/>
                <w:color w:val="4472C4" w:themeColor="accent1"/>
                <w:sz w:val="20"/>
                <w:szCs w:val="20"/>
                <w:u w:val="single"/>
                <w:lang w:val="fr-FR"/>
              </w:rPr>
              <w:t>(</w:t>
            </w:r>
            <w:r w:rsidR="007225A3" w:rsidRPr="00426D46">
              <w:rPr>
                <w:b/>
                <w:color w:val="4472C4" w:themeColor="accent1"/>
                <w:sz w:val="20"/>
                <w:szCs w:val="20"/>
                <w:u w:val="single"/>
                <w:lang w:val="fr-FR"/>
              </w:rPr>
              <w:t>HPF</w:t>
            </w:r>
            <w:r w:rsidR="00E60098" w:rsidRPr="00426D46">
              <w:rPr>
                <w:b/>
                <w:color w:val="4472C4" w:themeColor="accent1"/>
                <w:sz w:val="20"/>
                <w:szCs w:val="20"/>
                <w:u w:val="single"/>
                <w:lang w:val="fr-FR"/>
              </w:rPr>
              <w:t>) de</w:t>
            </w:r>
            <w:r w:rsidRPr="00426D46">
              <w:rPr>
                <w:b/>
                <w:color w:val="4472C4" w:themeColor="accent1"/>
                <w:sz w:val="20"/>
                <w:szCs w:val="20"/>
                <w:u w:val="single"/>
                <w:lang w:val="fr-FR"/>
              </w:rPr>
              <w:t xml:space="preserve"> 2019</w:t>
            </w:r>
            <w:r w:rsidR="007225A3" w:rsidRPr="00426D46">
              <w:rPr>
                <w:sz w:val="20"/>
                <w:szCs w:val="20"/>
                <w:u w:val="single"/>
                <w:lang w:val="fr-FR"/>
              </w:rPr>
              <w:t xml:space="preserve">. </w:t>
            </w:r>
            <w:r w:rsidR="007225A3" w:rsidRPr="00426D46">
              <w:rPr>
                <w:sz w:val="20"/>
                <w:szCs w:val="20"/>
                <w:lang w:val="fr-FR"/>
              </w:rPr>
              <w:t>Dans les plans de réponses</w:t>
            </w:r>
            <w:r w:rsidRPr="00426D46">
              <w:rPr>
                <w:sz w:val="20"/>
                <w:szCs w:val="20"/>
                <w:lang w:val="fr-FR"/>
              </w:rPr>
              <w:t xml:space="preserve"> spécifiques (He</w:t>
            </w:r>
            <w:r w:rsidR="007225A3" w:rsidRPr="00426D46">
              <w:rPr>
                <w:sz w:val="20"/>
                <w:szCs w:val="20"/>
                <w:lang w:val="fr-FR"/>
              </w:rPr>
              <w:t xml:space="preserve">bron-H2), un plan de réponse conjoint a été élaboré </w:t>
            </w:r>
            <w:r w:rsidR="003814DE" w:rsidRPr="00426D46">
              <w:rPr>
                <w:sz w:val="20"/>
                <w:szCs w:val="20"/>
                <w:lang w:val="fr-FR"/>
              </w:rPr>
              <w:t>(</w:t>
            </w:r>
            <w:r w:rsidR="003814DE" w:rsidRPr="00426D46">
              <w:rPr>
                <w:b/>
                <w:sz w:val="20"/>
                <w:szCs w:val="20"/>
                <w:lang w:val="fr-FR"/>
              </w:rPr>
              <w:t>oPt)</w:t>
            </w:r>
          </w:p>
          <w:p w14:paraId="094B11E7" w14:textId="2A92E7CB" w:rsidR="007225A3" w:rsidRPr="00426D46" w:rsidRDefault="007225A3" w:rsidP="007225A3">
            <w:pPr>
              <w:pStyle w:val="ListParagraph"/>
              <w:numPr>
                <w:ilvl w:val="0"/>
                <w:numId w:val="11"/>
              </w:numPr>
              <w:spacing w:before="80" w:after="80"/>
              <w:rPr>
                <w:sz w:val="20"/>
                <w:szCs w:val="20"/>
                <w:u w:val="single"/>
                <w:lang w:val="fr-FR"/>
              </w:rPr>
            </w:pPr>
            <w:r w:rsidRPr="00426D46">
              <w:rPr>
                <w:color w:val="4472C4" w:themeColor="accent1"/>
                <w:sz w:val="20"/>
                <w:szCs w:val="20"/>
              </w:rPr>
              <w:t xml:space="preserve">Plan de réponse conjointe </w:t>
            </w:r>
            <w:r w:rsidRPr="00426D46">
              <w:rPr>
                <w:sz w:val="20"/>
                <w:szCs w:val="20"/>
              </w:rPr>
              <w:t xml:space="preserve">(RDC – Kasaïi), Plan d’intervention conjoint, Cadre de résultats conjoint ( RDC – Kasaï)   </w:t>
            </w:r>
          </w:p>
          <w:p w14:paraId="60D3183B" w14:textId="77777777" w:rsidR="007225A3" w:rsidRPr="00426D46" w:rsidRDefault="007225A3" w:rsidP="007225A3">
            <w:pPr>
              <w:pStyle w:val="ListParagraph"/>
              <w:spacing w:before="80" w:after="80"/>
              <w:rPr>
                <w:sz w:val="20"/>
                <w:szCs w:val="20"/>
                <w:u w:val="single"/>
                <w:lang w:val="fr-FR"/>
              </w:rPr>
            </w:pPr>
          </w:p>
          <w:p w14:paraId="3135F692" w14:textId="34BF4EF6" w:rsidR="003814DE" w:rsidRPr="00426D46" w:rsidRDefault="007225A3" w:rsidP="003814DE">
            <w:pPr>
              <w:spacing w:before="80" w:after="80"/>
              <w:rPr>
                <w:bCs/>
                <w:sz w:val="20"/>
                <w:szCs w:val="20"/>
                <w:u w:val="single"/>
                <w:lang w:val="fr-FR"/>
              </w:rPr>
            </w:pPr>
            <w:r w:rsidRPr="00426D46">
              <w:rPr>
                <w:bCs/>
                <w:sz w:val="20"/>
                <w:szCs w:val="20"/>
                <w:u w:val="single"/>
                <w:lang w:val="fr-FR"/>
              </w:rPr>
              <w:t xml:space="preserve">Collaboration au cours de l’élaboration d’une stratégie sectorielle unique / d’un plan de réponse   </w:t>
            </w:r>
          </w:p>
          <w:p w14:paraId="5EA497A8" w14:textId="3FC4E487" w:rsidR="007E4736" w:rsidRPr="00426D46" w:rsidRDefault="00674D46" w:rsidP="007E4736">
            <w:pPr>
              <w:pStyle w:val="ListParagraph"/>
              <w:numPr>
                <w:ilvl w:val="0"/>
                <w:numId w:val="18"/>
              </w:numPr>
              <w:spacing w:before="80" w:after="80"/>
              <w:rPr>
                <w:sz w:val="20"/>
                <w:szCs w:val="20"/>
                <w:lang w:val="fr-FR"/>
              </w:rPr>
            </w:pPr>
            <w:r w:rsidRPr="00426D46">
              <w:rPr>
                <w:sz w:val="20"/>
                <w:szCs w:val="20"/>
                <w:lang w:val="fr-FR"/>
              </w:rPr>
              <w:t>Le cluster Education a invité l</w:t>
            </w:r>
            <w:r w:rsidR="00C90B01" w:rsidRPr="00426D46">
              <w:rPr>
                <w:sz w:val="20"/>
                <w:szCs w:val="20"/>
                <w:lang w:val="fr-FR"/>
              </w:rPr>
              <w:t>es collègues du Cluster Protection à une formation sur l’élaboration de stratégies (2019) et a participé à l’élaboration de la stratégie du Cluster Education – les priorités de réponse ont été élaborées avec la participation des acteurs du</w:t>
            </w:r>
            <w:r w:rsidRPr="00426D46">
              <w:rPr>
                <w:sz w:val="20"/>
                <w:szCs w:val="20"/>
                <w:lang w:val="fr-FR"/>
              </w:rPr>
              <w:t xml:space="preserve"> Cluster Protection et du coordon</w:t>
            </w:r>
            <w:r w:rsidR="00C90B01" w:rsidRPr="00426D46">
              <w:rPr>
                <w:sz w:val="20"/>
                <w:szCs w:val="20"/>
                <w:lang w:val="fr-FR"/>
              </w:rPr>
              <w:t xml:space="preserve">nateur sectoriel </w:t>
            </w:r>
            <w:r w:rsidR="00C90B01" w:rsidRPr="00426D46">
              <w:rPr>
                <w:b/>
                <w:sz w:val="20"/>
                <w:szCs w:val="20"/>
                <w:lang w:val="fr-FR"/>
              </w:rPr>
              <w:t>(Ukraine, oPt)</w:t>
            </w:r>
            <w:r w:rsidR="00C90B01" w:rsidRPr="00426D46">
              <w:rPr>
                <w:sz w:val="20"/>
                <w:szCs w:val="20"/>
                <w:lang w:val="fr-FR"/>
              </w:rPr>
              <w:t xml:space="preserve">  </w:t>
            </w:r>
          </w:p>
          <w:p w14:paraId="68A55E39" w14:textId="5209D90C" w:rsidR="007E4736" w:rsidRPr="00426D46" w:rsidRDefault="007E4736" w:rsidP="007E4736">
            <w:pPr>
              <w:pStyle w:val="ListParagraph"/>
              <w:numPr>
                <w:ilvl w:val="0"/>
                <w:numId w:val="18"/>
              </w:numPr>
              <w:spacing w:before="80" w:after="80"/>
              <w:rPr>
                <w:sz w:val="20"/>
                <w:szCs w:val="20"/>
                <w:lang w:val="fr-FR"/>
              </w:rPr>
            </w:pPr>
            <w:r w:rsidRPr="00426D46">
              <w:rPr>
                <w:sz w:val="20"/>
                <w:szCs w:val="20"/>
                <w:lang w:val="fr-FR"/>
              </w:rPr>
              <w:t xml:space="preserve">Développement de la stratégie de Cluster Protection dans le </w:t>
            </w:r>
            <w:r w:rsidR="00674D46" w:rsidRPr="00426D46">
              <w:rPr>
                <w:sz w:val="20"/>
                <w:szCs w:val="20"/>
                <w:lang w:val="fr-FR"/>
              </w:rPr>
              <w:t>Centre du Sahel</w:t>
            </w:r>
            <w:r w:rsidRPr="00426D46">
              <w:rPr>
                <w:sz w:val="20"/>
                <w:szCs w:val="20"/>
                <w:lang w:val="fr-FR"/>
              </w:rPr>
              <w:t xml:space="preserve"> (Mali,</w:t>
            </w:r>
            <w:r w:rsidR="00674D46" w:rsidRPr="00426D46">
              <w:rPr>
                <w:sz w:val="20"/>
                <w:szCs w:val="20"/>
                <w:lang w:val="fr-FR"/>
              </w:rPr>
              <w:t xml:space="preserve"> Burkina Faso, Niger) a invité l</w:t>
            </w:r>
            <w:r w:rsidRPr="00426D46">
              <w:rPr>
                <w:sz w:val="20"/>
                <w:szCs w:val="20"/>
                <w:lang w:val="fr-FR"/>
              </w:rPr>
              <w:t>es collègues</w:t>
            </w:r>
            <w:r w:rsidR="00674D46" w:rsidRPr="00426D46">
              <w:rPr>
                <w:sz w:val="20"/>
                <w:szCs w:val="20"/>
                <w:lang w:val="fr-FR"/>
              </w:rPr>
              <w:t xml:space="preserve"> du Cluster Education; aboutissant à</w:t>
            </w:r>
            <w:r w:rsidRPr="00426D46">
              <w:rPr>
                <w:sz w:val="20"/>
                <w:szCs w:val="20"/>
                <w:lang w:val="fr-FR"/>
              </w:rPr>
              <w:t xml:space="preserve"> un plan opérationnel intégré </w:t>
            </w:r>
            <w:r w:rsidRPr="00426D46">
              <w:rPr>
                <w:b/>
                <w:sz w:val="20"/>
                <w:szCs w:val="20"/>
                <w:lang w:val="fr-FR"/>
              </w:rPr>
              <w:t>(WCA)</w:t>
            </w:r>
            <w:r w:rsidRPr="00426D46">
              <w:rPr>
                <w:sz w:val="20"/>
                <w:szCs w:val="20"/>
                <w:lang w:val="fr-FR"/>
              </w:rPr>
              <w:t xml:space="preserve">   </w:t>
            </w:r>
          </w:p>
          <w:p w14:paraId="18A09F56" w14:textId="6B9CF6BC" w:rsidR="003814DE" w:rsidRPr="00426D46" w:rsidRDefault="007E4736" w:rsidP="007E4736">
            <w:pPr>
              <w:pStyle w:val="ListParagraph"/>
              <w:numPr>
                <w:ilvl w:val="0"/>
                <w:numId w:val="11"/>
              </w:numPr>
              <w:spacing w:before="80" w:after="80"/>
              <w:rPr>
                <w:sz w:val="20"/>
                <w:szCs w:val="20"/>
                <w:lang w:val="fr-FR"/>
              </w:rPr>
            </w:pPr>
            <w:r w:rsidRPr="00426D46">
              <w:rPr>
                <w:sz w:val="20"/>
                <w:szCs w:val="20"/>
                <w:lang w:val="fr-FR"/>
              </w:rPr>
              <w:t xml:space="preserve">Chaque secteur examine le chapitre du Plan de Réponse Humanitaire (HRP) de l’autre pour assurer la complémentarité, y compris pour assurer l’alignement des activités de réponse prioritaires </w:t>
            </w:r>
            <w:r w:rsidR="003814DE" w:rsidRPr="00426D46">
              <w:rPr>
                <w:sz w:val="20"/>
                <w:szCs w:val="20"/>
                <w:lang w:val="fr-FR"/>
              </w:rPr>
              <w:t>(</w:t>
            </w:r>
            <w:r w:rsidR="003814DE" w:rsidRPr="00426D46">
              <w:rPr>
                <w:b/>
                <w:sz w:val="20"/>
                <w:szCs w:val="20"/>
                <w:lang w:val="fr-FR"/>
              </w:rPr>
              <w:t>oPt</w:t>
            </w:r>
            <w:r w:rsidR="003814DE" w:rsidRPr="00426D46">
              <w:rPr>
                <w:sz w:val="20"/>
                <w:szCs w:val="20"/>
                <w:lang w:val="fr-FR"/>
              </w:rPr>
              <w:t xml:space="preserve">) </w:t>
            </w:r>
          </w:p>
          <w:p w14:paraId="650D7464" w14:textId="38388028" w:rsidR="003814DE" w:rsidRPr="00426D46" w:rsidRDefault="007E4736" w:rsidP="007E4736">
            <w:pPr>
              <w:pStyle w:val="ListParagraph"/>
              <w:numPr>
                <w:ilvl w:val="0"/>
                <w:numId w:val="11"/>
              </w:numPr>
              <w:spacing w:before="80" w:after="80"/>
              <w:rPr>
                <w:sz w:val="20"/>
                <w:szCs w:val="20"/>
                <w:lang w:val="fr-FR"/>
              </w:rPr>
            </w:pPr>
            <w:r w:rsidRPr="00426D46">
              <w:rPr>
                <w:sz w:val="20"/>
                <w:szCs w:val="20"/>
                <w:lang w:val="fr-FR"/>
              </w:rPr>
              <w:t xml:space="preserve">Activités complémentaires identifiées, planifiées et incluses dans le Plan de Réponse Humanitaire (HRP), en notant les rôles et responsabilités complémentaires de chaque Cluster </w:t>
            </w:r>
          </w:p>
          <w:p w14:paraId="50370B7A" w14:textId="1D060761" w:rsidR="003814DE" w:rsidRPr="00426D46" w:rsidRDefault="00EC2E66" w:rsidP="00410EE6">
            <w:pPr>
              <w:pStyle w:val="ListParagraph"/>
              <w:numPr>
                <w:ilvl w:val="0"/>
                <w:numId w:val="14"/>
              </w:numPr>
              <w:spacing w:before="80" w:after="80"/>
              <w:rPr>
                <w:sz w:val="20"/>
                <w:szCs w:val="20"/>
                <w:lang w:val="fr-FR"/>
              </w:rPr>
            </w:pPr>
            <w:r w:rsidRPr="00426D46">
              <w:rPr>
                <w:sz w:val="20"/>
                <w:szCs w:val="20"/>
                <w:lang w:val="fr-FR"/>
              </w:rPr>
              <w:t xml:space="preserve">Le </w:t>
            </w:r>
            <w:r w:rsidR="00410EE6" w:rsidRPr="00426D46">
              <w:rPr>
                <w:sz w:val="20"/>
                <w:szCs w:val="20"/>
                <w:lang w:val="fr-FR"/>
              </w:rPr>
              <w:t>P</w:t>
            </w:r>
            <w:r w:rsidRPr="00426D46">
              <w:rPr>
                <w:sz w:val="20"/>
                <w:szCs w:val="20"/>
                <w:lang w:val="fr-FR"/>
              </w:rPr>
              <w:t>lan</w:t>
            </w:r>
            <w:r w:rsidR="00410EE6" w:rsidRPr="00426D46">
              <w:rPr>
                <w:sz w:val="20"/>
                <w:szCs w:val="20"/>
                <w:lang w:val="fr-FR"/>
              </w:rPr>
              <w:t xml:space="preserve"> de Réponse Humanitaire du Cluster Education comprend des exigences en matière de formation des enseignants sur la P</w:t>
            </w:r>
            <w:r w:rsidR="00A62C62" w:rsidRPr="00426D46">
              <w:rPr>
                <w:sz w:val="20"/>
                <w:szCs w:val="20"/>
                <w:lang w:val="fr-FR"/>
              </w:rPr>
              <w:t>rotection des enfants</w:t>
            </w:r>
            <w:r w:rsidR="00410EE6" w:rsidRPr="00426D46">
              <w:rPr>
                <w:sz w:val="20"/>
                <w:szCs w:val="20"/>
                <w:lang w:val="fr-FR"/>
              </w:rPr>
              <w:t xml:space="preserve"> et les orientations</w:t>
            </w:r>
            <w:r w:rsidR="00862AF9" w:rsidRPr="00426D46">
              <w:rPr>
                <w:sz w:val="20"/>
                <w:szCs w:val="20"/>
                <w:lang w:val="fr-FR"/>
              </w:rPr>
              <w:t xml:space="preserve"> sur l’utilisation des espaces</w:t>
            </w:r>
            <w:r w:rsidR="00410EE6" w:rsidRPr="00426D46">
              <w:rPr>
                <w:sz w:val="20"/>
                <w:szCs w:val="20"/>
                <w:lang w:val="fr-FR"/>
              </w:rPr>
              <w:t xml:space="preserve"> polyvalente</w:t>
            </w:r>
            <w:r w:rsidR="00862AF9" w:rsidRPr="00426D46">
              <w:rPr>
                <w:sz w:val="20"/>
                <w:szCs w:val="20"/>
                <w:lang w:val="fr-FR"/>
              </w:rPr>
              <w:t>s</w:t>
            </w:r>
            <w:r w:rsidR="00410EE6" w:rsidRPr="00426D46">
              <w:rPr>
                <w:sz w:val="20"/>
                <w:szCs w:val="20"/>
                <w:lang w:val="fr-FR"/>
              </w:rPr>
              <w:t xml:space="preserve"> (</w:t>
            </w:r>
            <w:r w:rsidR="00410EE6" w:rsidRPr="00426D46">
              <w:rPr>
                <w:b/>
                <w:sz w:val="20"/>
                <w:szCs w:val="20"/>
                <w:lang w:val="fr-FR"/>
              </w:rPr>
              <w:t>Afghanistan)</w:t>
            </w:r>
            <w:r w:rsidR="00862AF9" w:rsidRPr="00426D46">
              <w:rPr>
                <w:sz w:val="20"/>
                <w:szCs w:val="20"/>
                <w:lang w:val="fr-FR"/>
              </w:rPr>
              <w:t xml:space="preserve">  </w:t>
            </w:r>
          </w:p>
          <w:p w14:paraId="6AC0176B" w14:textId="5F1994F1" w:rsidR="003814DE" w:rsidRPr="00426D46" w:rsidRDefault="00862AF9" w:rsidP="00862AF9">
            <w:pPr>
              <w:pStyle w:val="ListParagraph"/>
              <w:numPr>
                <w:ilvl w:val="0"/>
                <w:numId w:val="14"/>
              </w:numPr>
              <w:spacing w:before="80" w:after="80"/>
              <w:rPr>
                <w:sz w:val="20"/>
                <w:szCs w:val="20"/>
                <w:lang w:val="fr-FR"/>
              </w:rPr>
            </w:pPr>
            <w:r w:rsidRPr="00426D46">
              <w:rPr>
                <w:sz w:val="20"/>
                <w:szCs w:val="20"/>
                <w:lang w:val="fr-FR"/>
              </w:rPr>
              <w:lastRenderedPageBreak/>
              <w:t>Le Plan de Réponse Humanitaire indique que le Cluster Protection fournira un appui technique au Cluster Education sur les mécanismes de P</w:t>
            </w:r>
            <w:r w:rsidR="00996BCD" w:rsidRPr="00426D46">
              <w:rPr>
                <w:sz w:val="20"/>
                <w:szCs w:val="20"/>
                <w:lang w:val="fr-FR"/>
              </w:rPr>
              <w:t>rotection des enfants</w:t>
            </w:r>
            <w:r w:rsidRPr="00426D46">
              <w:rPr>
                <w:sz w:val="20"/>
                <w:szCs w:val="20"/>
                <w:lang w:val="fr-FR"/>
              </w:rPr>
              <w:t xml:space="preserve"> dans les écoles, l’éducation des ERW, la gestion intersectorielle des cas d’urgence </w:t>
            </w:r>
            <w:r w:rsidRPr="00426D46">
              <w:rPr>
                <w:b/>
                <w:sz w:val="20"/>
                <w:szCs w:val="20"/>
                <w:lang w:val="fr-FR"/>
              </w:rPr>
              <w:t>(oPt)</w:t>
            </w:r>
            <w:r w:rsidRPr="00426D46">
              <w:rPr>
                <w:sz w:val="20"/>
                <w:szCs w:val="20"/>
                <w:lang w:val="fr-FR"/>
              </w:rPr>
              <w:t xml:space="preserve">   </w:t>
            </w:r>
          </w:p>
          <w:p w14:paraId="664F4460" w14:textId="3EED3D63" w:rsidR="003814DE" w:rsidRPr="00426D46" w:rsidRDefault="001B44FB" w:rsidP="00862AF9">
            <w:pPr>
              <w:pStyle w:val="ListParagraph"/>
              <w:numPr>
                <w:ilvl w:val="0"/>
                <w:numId w:val="14"/>
              </w:numPr>
              <w:spacing w:before="80" w:after="80"/>
              <w:rPr>
                <w:sz w:val="20"/>
                <w:szCs w:val="20"/>
                <w:lang w:val="fr-FR"/>
              </w:rPr>
            </w:pPr>
            <w:r w:rsidRPr="00426D46">
              <w:rPr>
                <w:sz w:val="20"/>
                <w:szCs w:val="20"/>
                <w:lang w:val="fr-FR"/>
              </w:rPr>
              <w:t>Règles des procédures</w:t>
            </w:r>
            <w:r w:rsidR="00862AF9" w:rsidRPr="00426D46">
              <w:rPr>
                <w:sz w:val="20"/>
                <w:szCs w:val="20"/>
                <w:lang w:val="fr-FR"/>
              </w:rPr>
              <w:t xml:space="preserve"> pour les réponses</w:t>
            </w:r>
            <w:r w:rsidRPr="00426D46">
              <w:rPr>
                <w:sz w:val="20"/>
                <w:szCs w:val="20"/>
                <w:lang w:val="fr-FR"/>
              </w:rPr>
              <w:t xml:space="preserve"> en milieu scolaire</w:t>
            </w:r>
            <w:r w:rsidR="008E37C1" w:rsidRPr="00426D46">
              <w:rPr>
                <w:sz w:val="20"/>
                <w:szCs w:val="20"/>
                <w:lang w:val="fr-FR"/>
              </w:rPr>
              <w:t xml:space="preserve"> (SOP)</w:t>
            </w:r>
            <w:r w:rsidR="00862AF9" w:rsidRPr="00426D46">
              <w:rPr>
                <w:sz w:val="20"/>
                <w:szCs w:val="20"/>
                <w:lang w:val="fr-FR"/>
              </w:rPr>
              <w:t xml:space="preserve"> – Les clusters et les partenaires sont clairs sur le fait que toute intervention en milieu scolaire doit être coordonnée par le Cluster Education. Ceci est stipulé dans le Plan de Réponse Humanitaire, et les partenaires souhaitant mett</w:t>
            </w:r>
            <w:r w:rsidRPr="00426D46">
              <w:rPr>
                <w:sz w:val="20"/>
                <w:szCs w:val="20"/>
                <w:lang w:val="fr-FR"/>
              </w:rPr>
              <w:t>re en œuvre des activités dans</w:t>
            </w:r>
            <w:r w:rsidR="00862AF9" w:rsidRPr="00426D46">
              <w:rPr>
                <w:sz w:val="20"/>
                <w:szCs w:val="20"/>
                <w:lang w:val="fr-FR"/>
              </w:rPr>
              <w:t xml:space="preserve"> les écoles sont tenues de rejoindre d’abord le Cluster Education </w:t>
            </w:r>
            <w:r w:rsidR="00862AF9" w:rsidRPr="00426D46">
              <w:rPr>
                <w:b/>
                <w:sz w:val="20"/>
                <w:szCs w:val="20"/>
                <w:lang w:val="fr-FR"/>
              </w:rPr>
              <w:t>(oPt)</w:t>
            </w:r>
            <w:r w:rsidR="00862AF9" w:rsidRPr="00426D46">
              <w:rPr>
                <w:sz w:val="20"/>
                <w:szCs w:val="20"/>
                <w:lang w:val="fr-FR"/>
              </w:rPr>
              <w:t xml:space="preserve">   </w:t>
            </w:r>
          </w:p>
          <w:p w14:paraId="09FF1548" w14:textId="012C150B" w:rsidR="003814DE" w:rsidRPr="00426D46" w:rsidRDefault="00B60780" w:rsidP="00862AF9">
            <w:pPr>
              <w:pStyle w:val="ListParagraph"/>
              <w:numPr>
                <w:ilvl w:val="0"/>
                <w:numId w:val="14"/>
              </w:numPr>
              <w:spacing w:before="80" w:after="80"/>
              <w:rPr>
                <w:b/>
                <w:sz w:val="20"/>
                <w:szCs w:val="20"/>
                <w:lang w:val="fr-FR"/>
              </w:rPr>
            </w:pPr>
            <w:r w:rsidRPr="00426D46">
              <w:rPr>
                <w:color w:val="4472C4" w:themeColor="accent1"/>
                <w:sz w:val="20"/>
                <w:szCs w:val="20"/>
                <w:lang w:val="fr-FR"/>
              </w:rPr>
              <w:t>Le plan de transition du Cluster E</w:t>
            </w:r>
            <w:r w:rsidR="00862AF9" w:rsidRPr="00426D46">
              <w:rPr>
                <w:color w:val="4472C4" w:themeColor="accent1"/>
                <w:sz w:val="20"/>
                <w:szCs w:val="20"/>
                <w:lang w:val="fr-FR"/>
              </w:rPr>
              <w:t xml:space="preserve">ducation </w:t>
            </w:r>
            <w:r w:rsidR="00862AF9" w:rsidRPr="00426D46">
              <w:rPr>
                <w:sz w:val="20"/>
                <w:szCs w:val="20"/>
                <w:lang w:val="fr-FR"/>
              </w:rPr>
              <w:t>décrit les modalités de parte</w:t>
            </w:r>
            <w:r w:rsidRPr="00426D46">
              <w:rPr>
                <w:sz w:val="20"/>
                <w:szCs w:val="20"/>
                <w:lang w:val="fr-FR"/>
              </w:rPr>
              <w:t>nariat avec les acteu</w:t>
            </w:r>
            <w:r w:rsidR="00D921E3" w:rsidRPr="00426D46">
              <w:rPr>
                <w:sz w:val="20"/>
                <w:szCs w:val="20"/>
                <w:lang w:val="fr-FR"/>
              </w:rPr>
              <w:t>rs de la Protection des Enfants</w:t>
            </w:r>
            <w:r w:rsidR="00862AF9" w:rsidRPr="00426D46">
              <w:rPr>
                <w:sz w:val="20"/>
                <w:szCs w:val="20"/>
                <w:lang w:val="fr-FR"/>
              </w:rPr>
              <w:t xml:space="preserve"> pour la prestati</w:t>
            </w:r>
            <w:r w:rsidRPr="00426D46">
              <w:rPr>
                <w:sz w:val="20"/>
                <w:szCs w:val="20"/>
                <w:lang w:val="fr-FR"/>
              </w:rPr>
              <w:t>on de PSS</w:t>
            </w:r>
            <w:r w:rsidR="00862AF9" w:rsidRPr="00426D46">
              <w:rPr>
                <w:sz w:val="20"/>
                <w:szCs w:val="20"/>
                <w:lang w:val="fr-FR"/>
              </w:rPr>
              <w:t xml:space="preserve"> dans des environnements d’apprentissage non formels </w:t>
            </w:r>
            <w:r w:rsidR="00862AF9" w:rsidRPr="00426D46">
              <w:rPr>
                <w:b/>
                <w:sz w:val="20"/>
                <w:szCs w:val="20"/>
                <w:lang w:val="fr-FR"/>
              </w:rPr>
              <w:t>(Iraq),</w:t>
            </w:r>
            <w:r w:rsidR="00862AF9" w:rsidRPr="00426D46">
              <w:rPr>
                <w:sz w:val="20"/>
                <w:szCs w:val="20"/>
                <w:lang w:val="fr-FR"/>
              </w:rPr>
              <w:t xml:space="preserve"> c’est-à-dire :</w:t>
            </w:r>
            <w:r w:rsidRPr="00426D46">
              <w:rPr>
                <w:sz w:val="20"/>
                <w:szCs w:val="20"/>
                <w:lang w:val="fr-FR"/>
              </w:rPr>
              <w:t xml:space="preserve">  </w:t>
            </w:r>
          </w:p>
          <w:p w14:paraId="19E02F0B" w14:textId="2F86C9B7" w:rsidR="003814DE" w:rsidRPr="00426D46" w:rsidRDefault="00B60780" w:rsidP="003814DE">
            <w:pPr>
              <w:spacing w:before="80" w:after="80"/>
              <w:ind w:left="360" w:firstLine="338"/>
              <w:rPr>
                <w:b/>
                <w:sz w:val="20"/>
                <w:szCs w:val="20"/>
                <w:lang w:val="fr-FR"/>
              </w:rPr>
            </w:pPr>
            <w:r w:rsidRPr="00426D46">
              <w:rPr>
                <w:i/>
                <w:sz w:val="20"/>
                <w:szCs w:val="20"/>
                <w:lang w:val="fr-FR"/>
              </w:rPr>
              <w:t>Les partenaires du C</w:t>
            </w:r>
            <w:r w:rsidR="00D921E3" w:rsidRPr="00426D46">
              <w:rPr>
                <w:i/>
                <w:sz w:val="20"/>
                <w:szCs w:val="20"/>
                <w:lang w:val="fr-FR"/>
              </w:rPr>
              <w:t xml:space="preserve">luster </w:t>
            </w:r>
            <w:r w:rsidRPr="00426D46">
              <w:rPr>
                <w:i/>
                <w:sz w:val="20"/>
                <w:szCs w:val="20"/>
                <w:lang w:val="fr-FR"/>
              </w:rPr>
              <w:t>P</w:t>
            </w:r>
            <w:r w:rsidR="00D921E3" w:rsidRPr="00426D46">
              <w:rPr>
                <w:i/>
                <w:sz w:val="20"/>
                <w:szCs w:val="20"/>
                <w:lang w:val="fr-FR"/>
              </w:rPr>
              <w:t>rotection</w:t>
            </w:r>
            <w:r w:rsidRPr="00426D46">
              <w:rPr>
                <w:i/>
                <w:sz w:val="20"/>
                <w:szCs w:val="20"/>
                <w:lang w:val="fr-FR"/>
              </w:rPr>
              <w:t xml:space="preserve"> peuvent appuyer la prestation PSS par l’entremise de 2 canaux principaux  </w:t>
            </w:r>
          </w:p>
          <w:p w14:paraId="48798233" w14:textId="7BC0565D" w:rsidR="003814DE" w:rsidRPr="00426D46" w:rsidRDefault="00B60780" w:rsidP="003814DE">
            <w:pPr>
              <w:spacing w:before="80" w:after="80"/>
              <w:rPr>
                <w:b/>
                <w:sz w:val="20"/>
                <w:szCs w:val="20"/>
                <w:lang w:val="fr-FR"/>
              </w:rPr>
            </w:pPr>
            <w:r w:rsidRPr="00426D46">
              <w:rPr>
                <w:b/>
                <w:i/>
                <w:sz w:val="20"/>
                <w:szCs w:val="20"/>
                <w:lang w:val="fr-FR"/>
              </w:rPr>
              <w:t xml:space="preserve">1. Travailleur social en milieu scolaire - </w:t>
            </w:r>
            <w:r w:rsidRPr="00426D46">
              <w:rPr>
                <w:i/>
                <w:sz w:val="20"/>
                <w:szCs w:val="20"/>
                <w:lang w:val="fr-FR"/>
              </w:rPr>
              <w:t>Les partenaires du C</w:t>
            </w:r>
            <w:r w:rsidR="00C9728D" w:rsidRPr="00426D46">
              <w:rPr>
                <w:i/>
                <w:sz w:val="20"/>
                <w:szCs w:val="20"/>
                <w:lang w:val="fr-FR"/>
              </w:rPr>
              <w:t xml:space="preserve">luster </w:t>
            </w:r>
            <w:r w:rsidRPr="00426D46">
              <w:rPr>
                <w:i/>
                <w:sz w:val="20"/>
                <w:szCs w:val="20"/>
                <w:lang w:val="fr-FR"/>
              </w:rPr>
              <w:t>P</w:t>
            </w:r>
            <w:r w:rsidR="00C9728D" w:rsidRPr="00426D46">
              <w:rPr>
                <w:i/>
                <w:sz w:val="20"/>
                <w:szCs w:val="20"/>
                <w:lang w:val="fr-FR"/>
              </w:rPr>
              <w:t>rotection</w:t>
            </w:r>
            <w:r w:rsidRPr="00426D46">
              <w:rPr>
                <w:i/>
                <w:sz w:val="20"/>
                <w:szCs w:val="20"/>
                <w:lang w:val="fr-FR"/>
              </w:rPr>
              <w:t xml:space="preserve"> peuvent aider à encadrer et à entrainer le travailleur social en milieu scolaire dans l’école officielle mise en place, qui à son tour fournira un soutien aux enseignants et aux apprenants.  </w:t>
            </w:r>
          </w:p>
          <w:p w14:paraId="0CCD0B16" w14:textId="44EECC24" w:rsidR="003814DE" w:rsidRPr="00426D46" w:rsidRDefault="00A3031B" w:rsidP="003814DE">
            <w:pPr>
              <w:spacing w:before="80" w:after="80"/>
              <w:rPr>
                <w:i/>
                <w:sz w:val="20"/>
                <w:szCs w:val="20"/>
                <w:lang w:val="fr-FR"/>
              </w:rPr>
            </w:pPr>
            <w:r w:rsidRPr="00426D46">
              <w:rPr>
                <w:b/>
                <w:i/>
                <w:sz w:val="20"/>
                <w:szCs w:val="20"/>
                <w:lang w:val="fr-FR"/>
              </w:rPr>
              <w:t>2. Les acteurs d</w:t>
            </w:r>
            <w:r w:rsidR="007421EE" w:rsidRPr="00426D46">
              <w:rPr>
                <w:b/>
                <w:i/>
                <w:sz w:val="20"/>
                <w:szCs w:val="20"/>
                <w:lang w:val="fr-FR"/>
              </w:rPr>
              <w:t xml:space="preserve">u </w:t>
            </w:r>
            <w:r w:rsidRPr="00426D46">
              <w:rPr>
                <w:b/>
                <w:i/>
                <w:sz w:val="20"/>
                <w:szCs w:val="20"/>
                <w:lang w:val="fr-FR"/>
              </w:rPr>
              <w:t>C</w:t>
            </w:r>
            <w:r w:rsidR="00C9728D" w:rsidRPr="00426D46">
              <w:rPr>
                <w:b/>
                <w:i/>
                <w:sz w:val="20"/>
                <w:szCs w:val="20"/>
                <w:lang w:val="fr-FR"/>
              </w:rPr>
              <w:t xml:space="preserve">luster </w:t>
            </w:r>
            <w:r w:rsidR="007421EE" w:rsidRPr="00426D46">
              <w:rPr>
                <w:b/>
                <w:i/>
                <w:sz w:val="20"/>
                <w:szCs w:val="20"/>
                <w:lang w:val="fr-FR"/>
              </w:rPr>
              <w:t>P</w:t>
            </w:r>
            <w:r w:rsidR="00C9728D" w:rsidRPr="00426D46">
              <w:rPr>
                <w:b/>
                <w:i/>
                <w:sz w:val="20"/>
                <w:szCs w:val="20"/>
                <w:lang w:val="fr-FR"/>
              </w:rPr>
              <w:t>rotection</w:t>
            </w:r>
            <w:r w:rsidRPr="00426D46">
              <w:rPr>
                <w:b/>
                <w:i/>
                <w:sz w:val="20"/>
                <w:szCs w:val="20"/>
                <w:lang w:val="fr-FR"/>
              </w:rPr>
              <w:t xml:space="preserve"> dirigent </w:t>
            </w:r>
            <w:r w:rsidR="007421EE" w:rsidRPr="00426D46">
              <w:rPr>
                <w:b/>
                <w:i/>
                <w:sz w:val="20"/>
                <w:szCs w:val="20"/>
                <w:lang w:val="fr-FR"/>
              </w:rPr>
              <w:t>la prestation d’un programme PSS</w:t>
            </w:r>
            <w:r w:rsidRPr="00426D46">
              <w:rPr>
                <w:b/>
                <w:i/>
                <w:sz w:val="20"/>
                <w:szCs w:val="20"/>
                <w:lang w:val="fr-FR"/>
              </w:rPr>
              <w:t xml:space="preserve"> structuré aux enfants. </w:t>
            </w:r>
            <w:r w:rsidRPr="00426D46">
              <w:rPr>
                <w:i/>
                <w:sz w:val="20"/>
                <w:szCs w:val="20"/>
                <w:lang w:val="fr-FR"/>
              </w:rPr>
              <w:t xml:space="preserve">Quelle que soit la modalité d’apprentissage (ALP, rattrapage </w:t>
            </w:r>
            <w:r w:rsidR="007421EE" w:rsidRPr="00426D46">
              <w:rPr>
                <w:i/>
                <w:sz w:val="20"/>
                <w:szCs w:val="20"/>
                <w:lang w:val="fr-FR"/>
              </w:rPr>
              <w:t>et alphabétisation et calcul de base), les partenaires du Cluster E</w:t>
            </w:r>
            <w:r w:rsidRPr="00426D46">
              <w:rPr>
                <w:i/>
                <w:sz w:val="20"/>
                <w:szCs w:val="20"/>
                <w:lang w:val="fr-FR"/>
              </w:rPr>
              <w:t>ducation devraient intégrer dans l’horaire une heure et demie par se</w:t>
            </w:r>
            <w:r w:rsidR="007421EE" w:rsidRPr="00426D46">
              <w:rPr>
                <w:i/>
                <w:sz w:val="20"/>
                <w:szCs w:val="20"/>
                <w:lang w:val="fr-FR"/>
              </w:rPr>
              <w:t>maine de PSS où un partenaire du Cluster Protection</w:t>
            </w:r>
            <w:r w:rsidRPr="00426D46">
              <w:rPr>
                <w:i/>
                <w:sz w:val="20"/>
                <w:szCs w:val="20"/>
                <w:lang w:val="fr-FR"/>
              </w:rPr>
              <w:t xml:space="preserve"> peut amener </w:t>
            </w:r>
            <w:r w:rsidR="007421EE" w:rsidRPr="00426D46">
              <w:rPr>
                <w:i/>
                <w:sz w:val="20"/>
                <w:szCs w:val="20"/>
                <w:lang w:val="fr-FR"/>
              </w:rPr>
              <w:t xml:space="preserve">les apprenants à travers une </w:t>
            </w:r>
            <w:r w:rsidRPr="00426D46">
              <w:rPr>
                <w:i/>
                <w:sz w:val="20"/>
                <w:szCs w:val="20"/>
                <w:lang w:val="fr-FR"/>
              </w:rPr>
              <w:t>structure</w:t>
            </w:r>
            <w:r w:rsidR="007421EE" w:rsidRPr="00426D46">
              <w:rPr>
                <w:i/>
                <w:sz w:val="20"/>
                <w:szCs w:val="20"/>
                <w:lang w:val="fr-FR"/>
              </w:rPr>
              <w:t xml:space="preserve"> PSS</w:t>
            </w:r>
            <w:r w:rsidRPr="00426D46">
              <w:rPr>
                <w:i/>
                <w:sz w:val="20"/>
                <w:szCs w:val="20"/>
                <w:lang w:val="fr-FR"/>
              </w:rPr>
              <w:t xml:space="preserve"> et un programme de renforcement de la résilience, qui sont déjà testés et prouvés avoir un impact positif sur le bien-être des enfants.  Le contenu qui sera abordé au cours de ces sessions extraordinaires fera l’objet </w:t>
            </w:r>
            <w:r w:rsidR="007421EE" w:rsidRPr="00426D46">
              <w:rPr>
                <w:i/>
                <w:sz w:val="20"/>
                <w:szCs w:val="20"/>
                <w:lang w:val="fr-FR"/>
              </w:rPr>
              <w:t>d’un accord entre le sous</w:t>
            </w:r>
            <w:r w:rsidRPr="00426D46">
              <w:rPr>
                <w:i/>
                <w:sz w:val="20"/>
                <w:szCs w:val="20"/>
                <w:lang w:val="fr-FR"/>
              </w:rPr>
              <w:t xml:space="preserve"> C</w:t>
            </w:r>
            <w:r w:rsidR="007421EE" w:rsidRPr="00426D46">
              <w:rPr>
                <w:i/>
                <w:sz w:val="20"/>
                <w:szCs w:val="20"/>
                <w:lang w:val="fr-FR"/>
              </w:rPr>
              <w:t xml:space="preserve">luster </w:t>
            </w:r>
            <w:r w:rsidRPr="00426D46">
              <w:rPr>
                <w:i/>
                <w:sz w:val="20"/>
                <w:szCs w:val="20"/>
                <w:lang w:val="fr-FR"/>
              </w:rPr>
              <w:t>P</w:t>
            </w:r>
            <w:r w:rsidR="007421EE" w:rsidRPr="00426D46">
              <w:rPr>
                <w:i/>
                <w:sz w:val="20"/>
                <w:szCs w:val="20"/>
                <w:lang w:val="fr-FR"/>
              </w:rPr>
              <w:t>rotection et le Cluster E</w:t>
            </w:r>
            <w:r w:rsidRPr="00426D46">
              <w:rPr>
                <w:i/>
                <w:sz w:val="20"/>
                <w:szCs w:val="20"/>
                <w:lang w:val="fr-FR"/>
              </w:rPr>
              <w:t>ducation, car il s’agit d’un domaine qui nécessite une normalisation, mais idéalement, les sessions devraient respecter les sujets énoncés dans le manuel PSS</w:t>
            </w:r>
          </w:p>
          <w:p w14:paraId="7596F439" w14:textId="77777777" w:rsidR="003814DE" w:rsidRPr="00426D46" w:rsidRDefault="003814DE" w:rsidP="002D23F1">
            <w:pPr>
              <w:rPr>
                <w:bCs/>
                <w:sz w:val="20"/>
                <w:szCs w:val="20"/>
                <w:u w:val="single"/>
                <w:lang w:val="fr-FR"/>
              </w:rPr>
            </w:pPr>
          </w:p>
          <w:p w14:paraId="22A686B6" w14:textId="64A847C0" w:rsidR="003814DE" w:rsidRPr="00426D46" w:rsidRDefault="007421EE" w:rsidP="003814DE">
            <w:pPr>
              <w:spacing w:before="80" w:after="80"/>
              <w:rPr>
                <w:sz w:val="20"/>
                <w:szCs w:val="20"/>
                <w:u w:val="single"/>
                <w:lang w:val="en-GB"/>
              </w:rPr>
            </w:pPr>
            <w:r w:rsidRPr="00426D46">
              <w:rPr>
                <w:sz w:val="20"/>
                <w:szCs w:val="20"/>
                <w:u w:val="single"/>
                <w:lang w:val="en-GB"/>
              </w:rPr>
              <w:t xml:space="preserve">Ciblage  </w:t>
            </w:r>
          </w:p>
          <w:p w14:paraId="7720112C" w14:textId="0627E396" w:rsidR="003814DE" w:rsidRPr="00426D46" w:rsidRDefault="007421EE" w:rsidP="007421EE">
            <w:pPr>
              <w:pStyle w:val="ListParagraph"/>
              <w:numPr>
                <w:ilvl w:val="0"/>
                <w:numId w:val="11"/>
              </w:numPr>
              <w:spacing w:before="80" w:after="80"/>
              <w:rPr>
                <w:sz w:val="20"/>
                <w:szCs w:val="20"/>
                <w:lang w:val="fr-FR"/>
              </w:rPr>
            </w:pPr>
            <w:r w:rsidRPr="00426D46">
              <w:rPr>
                <w:sz w:val="20"/>
                <w:szCs w:val="20"/>
                <w:lang w:val="fr-FR"/>
              </w:rPr>
              <w:t>Chevauchements potentiels dans le ciblage ou la couverture discutés avec les AORs du C</w:t>
            </w:r>
            <w:r w:rsidR="00C9728D" w:rsidRPr="00426D46">
              <w:rPr>
                <w:sz w:val="20"/>
                <w:szCs w:val="20"/>
                <w:lang w:val="fr-FR"/>
              </w:rPr>
              <w:t xml:space="preserve">luster </w:t>
            </w:r>
            <w:r w:rsidRPr="00426D46">
              <w:rPr>
                <w:sz w:val="20"/>
                <w:szCs w:val="20"/>
                <w:lang w:val="fr-FR"/>
              </w:rPr>
              <w:t>P</w:t>
            </w:r>
            <w:r w:rsidR="00C9728D" w:rsidRPr="00426D46">
              <w:rPr>
                <w:sz w:val="20"/>
                <w:szCs w:val="20"/>
                <w:lang w:val="fr-FR"/>
              </w:rPr>
              <w:t>rotection</w:t>
            </w:r>
            <w:r w:rsidRPr="00426D46">
              <w:rPr>
                <w:sz w:val="20"/>
                <w:szCs w:val="20"/>
                <w:lang w:val="fr-FR"/>
              </w:rPr>
              <w:t>, du Cluster Education et de</w:t>
            </w:r>
            <w:r w:rsidR="00865AFB" w:rsidRPr="00426D46">
              <w:rPr>
                <w:sz w:val="20"/>
                <w:szCs w:val="20"/>
                <w:lang w:val="fr-FR"/>
              </w:rPr>
              <w:t xml:space="preserve"> MA – utilisations des</w:t>
            </w:r>
            <w:r w:rsidRPr="00426D46">
              <w:rPr>
                <w:sz w:val="20"/>
                <w:szCs w:val="20"/>
                <w:lang w:val="fr-FR"/>
              </w:rPr>
              <w:t xml:space="preserve"> connaissances des partenaires pour leurs meilleurs emplacements de mise en œuvre afin d’éviter les chevauchements </w:t>
            </w:r>
            <w:r w:rsidRPr="00426D46">
              <w:rPr>
                <w:b/>
                <w:sz w:val="20"/>
                <w:szCs w:val="20"/>
                <w:lang w:val="fr-FR"/>
              </w:rPr>
              <w:t>(Ukraine)</w:t>
            </w:r>
            <w:r w:rsidRPr="00426D46">
              <w:rPr>
                <w:sz w:val="20"/>
                <w:szCs w:val="20"/>
                <w:lang w:val="fr-FR"/>
              </w:rPr>
              <w:t xml:space="preserve">    </w:t>
            </w:r>
          </w:p>
          <w:p w14:paraId="5DE26E76" w14:textId="7638ABB4" w:rsidR="007421EE" w:rsidRPr="00426D46" w:rsidRDefault="007421EE" w:rsidP="007421EE">
            <w:pPr>
              <w:spacing w:before="80" w:after="80"/>
              <w:ind w:left="360"/>
              <w:rPr>
                <w:sz w:val="20"/>
                <w:szCs w:val="20"/>
                <w:lang w:val="fr-FR"/>
              </w:rPr>
            </w:pPr>
          </w:p>
        </w:tc>
        <w:tc>
          <w:tcPr>
            <w:tcW w:w="874" w:type="pct"/>
          </w:tcPr>
          <w:p w14:paraId="41DF8A0E" w14:textId="652BB42D" w:rsidR="00025716" w:rsidRPr="00426D46" w:rsidRDefault="004B6686" w:rsidP="00025716">
            <w:pPr>
              <w:spacing w:before="80" w:after="80"/>
              <w:rPr>
                <w:bCs/>
                <w:sz w:val="20"/>
                <w:szCs w:val="20"/>
                <w:u w:val="single"/>
                <w:lang w:val="en-GB"/>
              </w:rPr>
            </w:pPr>
            <w:r w:rsidRPr="00426D46">
              <w:rPr>
                <w:bCs/>
                <w:sz w:val="20"/>
                <w:szCs w:val="20"/>
                <w:u w:val="single"/>
                <w:lang w:val="en-GB"/>
              </w:rPr>
              <w:lastRenderedPageBreak/>
              <w:t xml:space="preserve">Indicateurs de référence croisée  </w:t>
            </w:r>
          </w:p>
          <w:p w14:paraId="37C00D5C" w14:textId="2172EEAB" w:rsidR="00025716" w:rsidRPr="00426D46" w:rsidRDefault="008D0B15" w:rsidP="004B6686">
            <w:pPr>
              <w:pStyle w:val="ListParagraph"/>
              <w:numPr>
                <w:ilvl w:val="0"/>
                <w:numId w:val="11"/>
              </w:numPr>
              <w:spacing w:before="80" w:after="80"/>
              <w:rPr>
                <w:sz w:val="20"/>
                <w:szCs w:val="20"/>
                <w:lang w:val="fr-FR"/>
              </w:rPr>
            </w:pPr>
            <w:r w:rsidRPr="00426D46">
              <w:rPr>
                <w:rFonts w:ascii="Calibri" w:eastAsia="Times New Roman" w:hAnsi="Calibri" w:cs="Times New Roman"/>
                <w:color w:val="000000"/>
                <w:sz w:val="20"/>
                <w:szCs w:val="20"/>
                <w:lang w:val="fr-FR"/>
              </w:rPr>
              <w:t>L’indicateur de la Protection des Enfants</w:t>
            </w:r>
            <w:r w:rsidR="004B6686" w:rsidRPr="00426D46">
              <w:rPr>
                <w:rFonts w:ascii="Calibri" w:eastAsia="Times New Roman" w:hAnsi="Calibri" w:cs="Times New Roman"/>
                <w:color w:val="000000"/>
                <w:sz w:val="20"/>
                <w:szCs w:val="20"/>
                <w:lang w:val="fr-FR"/>
              </w:rPr>
              <w:t xml:space="preserve"> dans le Plan de Réponse Humanitaire indique qu’il sera suivi par le Cluster Education: le nombre d’enseignants, de membres de la communauté (SMC / PTA) et  des autorités éducatives recevant et formés sur PSS (</w:t>
            </w:r>
            <w:r w:rsidR="004B6686" w:rsidRPr="00426D46">
              <w:rPr>
                <w:rFonts w:ascii="Calibri" w:eastAsia="Times New Roman" w:hAnsi="Calibri" w:cs="Times New Roman"/>
                <w:b/>
                <w:color w:val="000000"/>
                <w:sz w:val="20"/>
                <w:szCs w:val="20"/>
                <w:lang w:val="fr-FR"/>
              </w:rPr>
              <w:t>HRP du CP Sud Soudan)</w:t>
            </w:r>
            <w:r w:rsidR="004B6686" w:rsidRPr="00426D46">
              <w:rPr>
                <w:rFonts w:ascii="Calibri" w:eastAsia="Times New Roman" w:hAnsi="Calibri" w:cs="Times New Roman"/>
                <w:color w:val="000000"/>
                <w:sz w:val="20"/>
                <w:szCs w:val="20"/>
                <w:lang w:val="fr-FR"/>
              </w:rPr>
              <w:t xml:space="preserve">    </w:t>
            </w:r>
          </w:p>
          <w:p w14:paraId="5DCD46D4" w14:textId="77777777" w:rsidR="00025716" w:rsidRPr="00426D46" w:rsidRDefault="00025716" w:rsidP="002D23F1">
            <w:pPr>
              <w:rPr>
                <w:bCs/>
                <w:sz w:val="20"/>
                <w:szCs w:val="20"/>
                <w:u w:val="single"/>
                <w:lang w:val="fr-FR"/>
              </w:rPr>
            </w:pPr>
          </w:p>
          <w:p w14:paraId="7CA30371" w14:textId="14C80F79" w:rsidR="00B104DF" w:rsidRPr="00426D46" w:rsidRDefault="00B104DF" w:rsidP="00025716">
            <w:pPr>
              <w:spacing w:before="80" w:after="80"/>
              <w:rPr>
                <w:bCs/>
                <w:sz w:val="20"/>
                <w:szCs w:val="20"/>
                <w:u w:val="single"/>
                <w:lang w:val="en-GB"/>
              </w:rPr>
            </w:pPr>
            <w:r w:rsidRPr="00426D46">
              <w:rPr>
                <w:bCs/>
                <w:sz w:val="20"/>
                <w:szCs w:val="20"/>
                <w:u w:val="single"/>
                <w:lang w:val="en-GB"/>
              </w:rPr>
              <w:t xml:space="preserve">Indicateurs d’intégration   </w:t>
            </w:r>
          </w:p>
          <w:p w14:paraId="1B3BC6EC" w14:textId="1C4DB09D" w:rsidR="00025716" w:rsidRPr="00426D46" w:rsidRDefault="00B104DF" w:rsidP="00B104DF">
            <w:pPr>
              <w:pStyle w:val="ListParagraph"/>
              <w:numPr>
                <w:ilvl w:val="0"/>
                <w:numId w:val="11"/>
              </w:numPr>
              <w:spacing w:before="80" w:after="80"/>
              <w:rPr>
                <w:sz w:val="20"/>
                <w:szCs w:val="20"/>
                <w:lang w:val="fr-FR"/>
              </w:rPr>
            </w:pPr>
            <w:r w:rsidRPr="00426D46">
              <w:rPr>
                <w:rFonts w:ascii="Calibri" w:eastAsia="Times New Roman" w:hAnsi="Calibri" w:cs="Times New Roman"/>
                <w:color w:val="000000"/>
                <w:sz w:val="20"/>
                <w:szCs w:val="20"/>
                <w:lang w:val="fr-FR"/>
              </w:rPr>
              <w:t xml:space="preserve">Nombre d’écoliers et de jeunes (M/F) atteints avec des activités de protection conformément au </w:t>
            </w:r>
            <w:r w:rsidRPr="00426D46">
              <w:rPr>
                <w:rFonts w:ascii="Calibri" w:eastAsia="Times New Roman" w:hAnsi="Calibri" w:cs="Times New Roman"/>
                <w:color w:val="000000"/>
                <w:sz w:val="20"/>
                <w:szCs w:val="20"/>
                <w:lang w:val="fr-FR"/>
              </w:rPr>
              <w:lastRenderedPageBreak/>
              <w:t>Cadre de rép</w:t>
            </w:r>
            <w:r w:rsidR="00F44778" w:rsidRPr="00426D46">
              <w:rPr>
                <w:rFonts w:ascii="Calibri" w:eastAsia="Times New Roman" w:hAnsi="Calibri" w:cs="Times New Roman"/>
                <w:color w:val="000000"/>
                <w:sz w:val="20"/>
                <w:szCs w:val="20"/>
                <w:lang w:val="fr-FR"/>
              </w:rPr>
              <w:t>onse intégré Cluster Education et P</w:t>
            </w:r>
            <w:r w:rsidRPr="00426D46">
              <w:rPr>
                <w:rFonts w:ascii="Calibri" w:eastAsia="Times New Roman" w:hAnsi="Calibri" w:cs="Times New Roman"/>
                <w:color w:val="000000"/>
                <w:sz w:val="20"/>
                <w:szCs w:val="20"/>
                <w:lang w:val="fr-FR"/>
              </w:rPr>
              <w:t>rotection de</w:t>
            </w:r>
            <w:r w:rsidR="00F44778" w:rsidRPr="00426D46">
              <w:rPr>
                <w:rFonts w:ascii="Calibri" w:eastAsia="Times New Roman" w:hAnsi="Calibri" w:cs="Times New Roman"/>
                <w:color w:val="000000"/>
                <w:sz w:val="20"/>
                <w:szCs w:val="20"/>
                <w:lang w:val="fr-FR"/>
              </w:rPr>
              <w:t>s Enfants</w:t>
            </w:r>
            <w:r w:rsidRPr="00426D46">
              <w:rPr>
                <w:rFonts w:ascii="Calibri" w:eastAsia="Times New Roman" w:hAnsi="Calibri" w:cs="Times New Roman"/>
                <w:color w:val="000000"/>
                <w:sz w:val="20"/>
                <w:szCs w:val="20"/>
                <w:lang w:val="fr-FR"/>
              </w:rPr>
              <w:t xml:space="preserve"> </w:t>
            </w:r>
            <w:r w:rsidRPr="00426D46">
              <w:rPr>
                <w:rFonts w:ascii="Calibri" w:eastAsia="Times New Roman" w:hAnsi="Calibri" w:cs="Times New Roman"/>
                <w:sz w:val="20"/>
                <w:szCs w:val="20"/>
                <w:lang w:val="fr-FR"/>
              </w:rPr>
              <w:t>(</w:t>
            </w:r>
            <w:r w:rsidRPr="00426D46">
              <w:rPr>
                <w:rFonts w:ascii="Calibri" w:eastAsia="Times New Roman" w:hAnsi="Calibri" w:cs="Times New Roman"/>
                <w:b/>
                <w:sz w:val="20"/>
                <w:szCs w:val="20"/>
                <w:lang w:val="fr-FR"/>
              </w:rPr>
              <w:t>Somalie</w:t>
            </w:r>
            <w:r w:rsidRPr="00426D46">
              <w:rPr>
                <w:rFonts w:ascii="Calibri" w:eastAsia="Times New Roman" w:hAnsi="Calibri" w:cs="Times New Roman"/>
                <w:sz w:val="20"/>
                <w:szCs w:val="20"/>
                <w:lang w:val="fr-FR"/>
              </w:rPr>
              <w:t xml:space="preserve"> </w:t>
            </w:r>
            <w:r w:rsidRPr="00426D46">
              <w:rPr>
                <w:rFonts w:ascii="Calibri" w:eastAsia="Times New Roman" w:hAnsi="Calibri" w:cs="Times New Roman"/>
                <w:color w:val="000000"/>
                <w:sz w:val="20"/>
                <w:szCs w:val="20"/>
                <w:lang w:val="fr-FR"/>
              </w:rPr>
              <w:t xml:space="preserve">HRP du Cluster Education)   </w:t>
            </w:r>
          </w:p>
          <w:p w14:paraId="40107C9B" w14:textId="77777777" w:rsidR="002D23F1" w:rsidRPr="00426D46" w:rsidRDefault="002D23F1" w:rsidP="002D23F1">
            <w:pPr>
              <w:rPr>
                <w:sz w:val="20"/>
                <w:szCs w:val="20"/>
                <w:lang w:val="fr-FR"/>
              </w:rPr>
            </w:pPr>
          </w:p>
          <w:p w14:paraId="5F4AFADD" w14:textId="13B5CDFD" w:rsidR="00025716" w:rsidRPr="00426D46" w:rsidRDefault="00297384" w:rsidP="00025716">
            <w:pPr>
              <w:spacing w:before="80" w:after="80"/>
              <w:rPr>
                <w:bCs/>
                <w:sz w:val="20"/>
                <w:szCs w:val="20"/>
                <w:u w:val="single"/>
                <w:lang w:val="en-GB"/>
              </w:rPr>
            </w:pPr>
            <w:r w:rsidRPr="00426D46">
              <w:rPr>
                <w:bCs/>
                <w:sz w:val="20"/>
                <w:szCs w:val="20"/>
                <w:u w:val="single"/>
                <w:lang w:val="en-GB"/>
              </w:rPr>
              <w:t>Directives sur l</w:t>
            </w:r>
            <w:r w:rsidR="00B104DF" w:rsidRPr="00426D46">
              <w:rPr>
                <w:bCs/>
                <w:sz w:val="20"/>
                <w:szCs w:val="20"/>
                <w:u w:val="single"/>
                <w:lang w:val="en-GB"/>
              </w:rPr>
              <w:t xml:space="preserve">es </w:t>
            </w:r>
            <w:r w:rsidR="004618E5" w:rsidRPr="00426D46">
              <w:rPr>
                <w:bCs/>
                <w:sz w:val="20"/>
                <w:szCs w:val="20"/>
                <w:u w:val="single"/>
                <w:lang w:val="en-GB"/>
              </w:rPr>
              <w:t>indicateurs</w:t>
            </w:r>
            <w:r w:rsidR="00B104DF" w:rsidRPr="00426D46">
              <w:rPr>
                <w:bCs/>
                <w:sz w:val="20"/>
                <w:szCs w:val="20"/>
                <w:u w:val="single"/>
                <w:lang w:val="en-GB"/>
              </w:rPr>
              <w:t xml:space="preserve">  </w:t>
            </w:r>
          </w:p>
          <w:p w14:paraId="3F843612" w14:textId="14520D88" w:rsidR="00025716" w:rsidRPr="00426D46" w:rsidRDefault="00B104DF" w:rsidP="00B104DF">
            <w:pPr>
              <w:pStyle w:val="ListParagraph"/>
              <w:numPr>
                <w:ilvl w:val="0"/>
                <w:numId w:val="11"/>
              </w:numPr>
              <w:spacing w:before="80" w:after="80"/>
              <w:rPr>
                <w:sz w:val="20"/>
                <w:szCs w:val="20"/>
                <w:lang w:val="fr-FR"/>
              </w:rPr>
            </w:pPr>
            <w:r w:rsidRPr="00426D46">
              <w:rPr>
                <w:sz w:val="20"/>
                <w:szCs w:val="20"/>
                <w:lang w:val="fr-FR"/>
              </w:rPr>
              <w:t>L’inventaire des indicateurs</w:t>
            </w:r>
            <w:r w:rsidR="00B66EA1" w:rsidRPr="00426D46">
              <w:rPr>
                <w:sz w:val="20"/>
                <w:szCs w:val="20"/>
                <w:lang w:val="fr-FR"/>
              </w:rPr>
              <w:t xml:space="preserve"> du Plan des Réponses Humanitaires</w:t>
            </w:r>
            <w:r w:rsidRPr="00426D46">
              <w:rPr>
                <w:sz w:val="20"/>
                <w:szCs w:val="20"/>
                <w:lang w:val="fr-FR"/>
              </w:rPr>
              <w:t xml:space="preserve"> </w:t>
            </w:r>
            <w:r w:rsidR="00B66EA1" w:rsidRPr="00426D46">
              <w:rPr>
                <w:sz w:val="20"/>
                <w:szCs w:val="20"/>
                <w:lang w:val="fr-FR"/>
              </w:rPr>
              <w:t>(</w:t>
            </w:r>
            <w:r w:rsidRPr="00426D46">
              <w:rPr>
                <w:sz w:val="20"/>
                <w:szCs w:val="20"/>
                <w:lang w:val="fr-FR"/>
              </w:rPr>
              <w:t>HRP</w:t>
            </w:r>
            <w:r w:rsidR="00B66EA1" w:rsidRPr="00426D46">
              <w:rPr>
                <w:sz w:val="20"/>
                <w:szCs w:val="20"/>
                <w:lang w:val="fr-FR"/>
              </w:rPr>
              <w:t>)</w:t>
            </w:r>
            <w:r w:rsidRPr="00426D46">
              <w:rPr>
                <w:sz w:val="20"/>
                <w:szCs w:val="20"/>
                <w:lang w:val="fr-FR"/>
              </w:rPr>
              <w:t xml:space="preserve"> 2019 a été développé en collaboration avec les sous-Clusters P</w:t>
            </w:r>
            <w:r w:rsidR="00B66EA1" w:rsidRPr="00426D46">
              <w:rPr>
                <w:sz w:val="20"/>
                <w:szCs w:val="20"/>
                <w:lang w:val="fr-FR"/>
              </w:rPr>
              <w:t>rotection des Enfants &amp;</w:t>
            </w:r>
            <w:r w:rsidRPr="00426D46">
              <w:rPr>
                <w:sz w:val="20"/>
                <w:szCs w:val="20"/>
                <w:lang w:val="fr-FR"/>
              </w:rPr>
              <w:t>V</w:t>
            </w:r>
            <w:r w:rsidR="00B66EA1" w:rsidRPr="00426D46">
              <w:rPr>
                <w:sz w:val="20"/>
                <w:szCs w:val="20"/>
                <w:lang w:val="fr-FR"/>
              </w:rPr>
              <w:t>BG</w:t>
            </w:r>
            <w:r w:rsidR="00025716" w:rsidRPr="00426D46">
              <w:rPr>
                <w:sz w:val="20"/>
                <w:szCs w:val="20"/>
                <w:lang w:val="fr-FR"/>
              </w:rPr>
              <w:t xml:space="preserve"> (</w:t>
            </w:r>
            <w:r w:rsidR="00025716" w:rsidRPr="00426D46">
              <w:rPr>
                <w:b/>
                <w:sz w:val="20"/>
                <w:szCs w:val="20"/>
                <w:lang w:val="fr-FR"/>
              </w:rPr>
              <w:t>Nigeria</w:t>
            </w:r>
            <w:r w:rsidR="00025716" w:rsidRPr="00426D46">
              <w:rPr>
                <w:sz w:val="20"/>
                <w:szCs w:val="20"/>
                <w:lang w:val="fr-FR"/>
              </w:rPr>
              <w:t>)</w:t>
            </w:r>
          </w:p>
          <w:p w14:paraId="2E16B8D9" w14:textId="05A9CB4A" w:rsidR="00551C0B" w:rsidRPr="00426D46" w:rsidRDefault="004A7712" w:rsidP="00B104DF">
            <w:pPr>
              <w:pStyle w:val="ListParagraph"/>
              <w:numPr>
                <w:ilvl w:val="0"/>
                <w:numId w:val="11"/>
              </w:numPr>
              <w:spacing w:before="80" w:after="80"/>
              <w:rPr>
                <w:sz w:val="20"/>
                <w:szCs w:val="20"/>
                <w:lang w:val="fr-FR"/>
              </w:rPr>
            </w:pPr>
            <w:r w:rsidRPr="00426D46">
              <w:rPr>
                <w:sz w:val="20"/>
                <w:szCs w:val="20"/>
                <w:lang w:val="fr-FR"/>
              </w:rPr>
              <w:t>Indicateurs expliqués dans l’ECMT</w:t>
            </w:r>
            <w:r w:rsidR="00B104DF" w:rsidRPr="00426D46">
              <w:rPr>
                <w:sz w:val="20"/>
                <w:szCs w:val="20"/>
                <w:lang w:val="fr-FR"/>
              </w:rPr>
              <w:t xml:space="preserve"> - exigences/procédures d’établissement de rapports au niveau de l’école </w:t>
            </w:r>
            <w:r w:rsidR="00B104DF" w:rsidRPr="00426D46">
              <w:rPr>
                <w:b/>
                <w:sz w:val="20"/>
                <w:szCs w:val="20"/>
                <w:lang w:val="fr-FR"/>
              </w:rPr>
              <w:t>(Ukraine)</w:t>
            </w:r>
            <w:r w:rsidRPr="00426D46">
              <w:rPr>
                <w:sz w:val="20"/>
                <w:szCs w:val="20"/>
                <w:lang w:val="fr-FR"/>
              </w:rPr>
              <w:t xml:space="preserve">   </w:t>
            </w:r>
          </w:p>
          <w:p w14:paraId="7AB87A3F" w14:textId="3713C21C" w:rsidR="00551C0B" w:rsidRPr="00426D46" w:rsidRDefault="004A7712" w:rsidP="004A7712">
            <w:pPr>
              <w:pStyle w:val="ListParagraph"/>
              <w:numPr>
                <w:ilvl w:val="0"/>
                <w:numId w:val="11"/>
              </w:numPr>
              <w:spacing w:before="80" w:after="80"/>
              <w:rPr>
                <w:sz w:val="20"/>
                <w:szCs w:val="20"/>
                <w:lang w:val="fr-FR"/>
              </w:rPr>
            </w:pPr>
            <w:r w:rsidRPr="00426D46">
              <w:rPr>
                <w:sz w:val="20"/>
                <w:szCs w:val="20"/>
                <w:lang w:val="fr-FR"/>
              </w:rPr>
              <w:t>Directives relatives aux indicateurs (</w:t>
            </w:r>
            <w:r w:rsidRPr="00426D46">
              <w:rPr>
                <w:b/>
                <w:sz w:val="20"/>
                <w:szCs w:val="20"/>
                <w:lang w:val="fr-FR"/>
              </w:rPr>
              <w:t>Iraq</w:t>
            </w:r>
            <w:r w:rsidRPr="00426D46">
              <w:rPr>
                <w:sz w:val="20"/>
                <w:szCs w:val="20"/>
                <w:lang w:val="fr-FR"/>
              </w:rPr>
              <w:t>: Directives relatives aux indicateurs du Cluster Protection</w:t>
            </w:r>
            <w:r w:rsidR="0076250A" w:rsidRPr="00426D46">
              <w:rPr>
                <w:sz w:val="20"/>
                <w:szCs w:val="20"/>
                <w:lang w:val="fr-FR"/>
              </w:rPr>
              <w:t xml:space="preserve"> pour la formation en</w:t>
            </w:r>
            <w:r w:rsidRPr="00426D46">
              <w:rPr>
                <w:sz w:val="20"/>
                <w:szCs w:val="20"/>
                <w:lang w:val="fr-FR"/>
              </w:rPr>
              <w:t xml:space="preserve"> P</w:t>
            </w:r>
            <w:r w:rsidR="00AD79A1" w:rsidRPr="00426D46">
              <w:rPr>
                <w:sz w:val="20"/>
                <w:szCs w:val="20"/>
                <w:lang w:val="fr-FR"/>
              </w:rPr>
              <w:t>rotection des Enfants</w:t>
            </w:r>
            <w:r w:rsidRPr="00426D46">
              <w:rPr>
                <w:sz w:val="20"/>
                <w:szCs w:val="20"/>
                <w:lang w:val="fr-FR"/>
              </w:rPr>
              <w:t xml:space="preserve"> dans les écoles / au personnel éducatif)   </w:t>
            </w:r>
          </w:p>
        </w:tc>
      </w:tr>
      <w:tr w:rsidR="008B0087" w:rsidRPr="002D23F1" w14:paraId="033701C4" w14:textId="77777777" w:rsidTr="009477D0">
        <w:tc>
          <w:tcPr>
            <w:tcW w:w="5000" w:type="pct"/>
            <w:gridSpan w:val="4"/>
            <w:shd w:val="clear" w:color="auto" w:fill="00A0DC"/>
            <w:vAlign w:val="center"/>
          </w:tcPr>
          <w:p w14:paraId="1872B283" w14:textId="099B32AA" w:rsidR="008B0087" w:rsidRPr="002D23F1" w:rsidRDefault="007421EE" w:rsidP="008B0087">
            <w:pPr>
              <w:spacing w:before="80" w:after="80"/>
              <w:jc w:val="center"/>
              <w:rPr>
                <w:b/>
                <w:color w:val="FFFFFF" w:themeColor="background1"/>
                <w:sz w:val="20"/>
                <w:szCs w:val="20"/>
                <w:lang w:val="en-GB"/>
              </w:rPr>
            </w:pPr>
            <w:r w:rsidRPr="007421EE">
              <w:rPr>
                <w:b/>
                <w:color w:val="FFFFFF" w:themeColor="background1"/>
                <w:sz w:val="20"/>
                <w:szCs w:val="20"/>
                <w:lang w:val="en-GB"/>
              </w:rPr>
              <w:lastRenderedPageBreak/>
              <w:t>RESSOURCES AU NIVEAU MONDIAL</w:t>
            </w:r>
            <w:r>
              <w:rPr>
                <w:b/>
                <w:color w:val="FFFFFF" w:themeColor="background1"/>
                <w:sz w:val="20"/>
                <w:szCs w:val="20"/>
                <w:lang w:val="en-GB"/>
              </w:rPr>
              <w:t xml:space="preserve">   </w:t>
            </w:r>
          </w:p>
        </w:tc>
      </w:tr>
      <w:tr w:rsidR="00102D37" w:rsidRPr="00E71096" w14:paraId="6FF34923" w14:textId="77777777" w:rsidTr="009477D0">
        <w:tc>
          <w:tcPr>
            <w:tcW w:w="728" w:type="pct"/>
          </w:tcPr>
          <w:p w14:paraId="0D81F144" w14:textId="64CA596D" w:rsidR="00102D37" w:rsidRPr="00426D46" w:rsidRDefault="006160AE" w:rsidP="006160AE">
            <w:pPr>
              <w:pStyle w:val="ListParagraph"/>
              <w:numPr>
                <w:ilvl w:val="0"/>
                <w:numId w:val="11"/>
              </w:numPr>
              <w:spacing w:before="80" w:after="80"/>
              <w:rPr>
                <w:rFonts w:ascii="Calibri" w:eastAsia="Times New Roman" w:hAnsi="Calibri" w:cs="Times New Roman"/>
                <w:color w:val="000000"/>
                <w:sz w:val="20"/>
                <w:szCs w:val="20"/>
                <w:lang w:val="fr-FR"/>
              </w:rPr>
            </w:pPr>
            <w:r w:rsidRPr="00426D46">
              <w:rPr>
                <w:color w:val="4472C4" w:themeColor="accent1"/>
                <w:sz w:val="20"/>
                <w:szCs w:val="20"/>
              </w:rPr>
              <w:t xml:space="preserve">Matrice d’alignement </w:t>
            </w:r>
            <w:r w:rsidRPr="00426D46">
              <w:rPr>
                <w:color w:val="4472C4" w:themeColor="accent1"/>
                <w:sz w:val="20"/>
                <w:szCs w:val="20"/>
              </w:rPr>
              <w:lastRenderedPageBreak/>
              <w:t xml:space="preserve">de la stratégie (Package des stratégies GEC)     </w:t>
            </w:r>
          </w:p>
          <w:p w14:paraId="61E28436" w14:textId="4E5E8FAE" w:rsidR="006160AE" w:rsidRPr="00426D46" w:rsidRDefault="006160AE" w:rsidP="006160AE">
            <w:pPr>
              <w:pStyle w:val="ListParagraph"/>
              <w:numPr>
                <w:ilvl w:val="0"/>
                <w:numId w:val="11"/>
              </w:numPr>
              <w:spacing w:before="80" w:after="80"/>
              <w:rPr>
                <w:rFonts w:ascii="Calibri" w:eastAsia="Times New Roman" w:hAnsi="Calibri" w:cs="Times New Roman"/>
                <w:color w:val="000000"/>
                <w:sz w:val="20"/>
                <w:szCs w:val="20"/>
                <w:lang w:val="fr-FR"/>
              </w:rPr>
            </w:pPr>
            <w:r w:rsidRPr="00426D46">
              <w:rPr>
                <w:rFonts w:ascii="Calibri" w:eastAsia="Times New Roman" w:hAnsi="Calibri" w:cs="Times New Roman"/>
                <w:color w:val="000000"/>
                <w:sz w:val="20"/>
                <w:szCs w:val="20"/>
                <w:lang w:val="fr-FR"/>
              </w:rPr>
              <w:t xml:space="preserve">Exemple de matrice des responsabilités multisectorielles     de </w:t>
            </w:r>
            <w:r w:rsidR="00131849" w:rsidRPr="00426D46">
              <w:rPr>
                <w:rFonts w:ascii="Calibri" w:eastAsia="Times New Roman" w:hAnsi="Calibri" w:cs="Times New Roman"/>
                <w:color w:val="000000"/>
                <w:sz w:val="20"/>
                <w:szCs w:val="20"/>
                <w:lang w:val="fr-FR"/>
              </w:rPr>
              <w:t>Redevabilité</w:t>
            </w:r>
            <w:r w:rsidRPr="00426D46">
              <w:rPr>
                <w:rFonts w:ascii="Calibri" w:eastAsia="Times New Roman" w:hAnsi="Calibri" w:cs="Times New Roman"/>
                <w:color w:val="000000"/>
                <w:sz w:val="20"/>
                <w:szCs w:val="20"/>
                <w:lang w:val="fr-FR"/>
              </w:rPr>
              <w:t>.</w:t>
            </w:r>
          </w:p>
          <w:p w14:paraId="36428EE1" w14:textId="0DC77E16" w:rsidR="003509ED" w:rsidRPr="00426D46" w:rsidRDefault="006160AE" w:rsidP="006160AE">
            <w:pPr>
              <w:pStyle w:val="ListParagraph"/>
              <w:numPr>
                <w:ilvl w:val="0"/>
                <w:numId w:val="11"/>
              </w:numPr>
              <w:spacing w:before="80" w:after="80"/>
              <w:rPr>
                <w:rFonts w:ascii="Calibri" w:eastAsia="Times New Roman" w:hAnsi="Calibri" w:cs="Times New Roman"/>
                <w:color w:val="000000"/>
                <w:sz w:val="20"/>
                <w:szCs w:val="20"/>
                <w:lang w:val="fr-FR"/>
              </w:rPr>
            </w:pPr>
            <w:r w:rsidRPr="00426D46">
              <w:rPr>
                <w:sz w:val="20"/>
                <w:szCs w:val="20"/>
                <w:lang w:val="fr-FR"/>
              </w:rPr>
              <w:t>Exemples de matrices intersectorielles</w:t>
            </w:r>
            <w:r w:rsidR="003509ED" w:rsidRPr="00426D46">
              <w:rPr>
                <w:sz w:val="20"/>
                <w:szCs w:val="20"/>
                <w:lang w:val="fr-FR"/>
              </w:rPr>
              <w:t xml:space="preserve"> (</w:t>
            </w:r>
            <w:hyperlink r:id="rId13" w:history="1">
              <w:r w:rsidR="003509ED" w:rsidRPr="00426D46">
                <w:rPr>
                  <w:rStyle w:val="Hyperlink"/>
                  <w:sz w:val="20"/>
                  <w:szCs w:val="20"/>
                  <w:lang w:val="fr-FR"/>
                </w:rPr>
                <w:t>Annex</w:t>
              </w:r>
              <w:r w:rsidR="005E2426" w:rsidRPr="00426D46">
                <w:rPr>
                  <w:rStyle w:val="Hyperlink"/>
                  <w:sz w:val="20"/>
                  <w:szCs w:val="20"/>
                  <w:lang w:val="fr-FR"/>
                </w:rPr>
                <w:t>e</w:t>
              </w:r>
              <w:r w:rsidR="003509ED" w:rsidRPr="00426D46">
                <w:rPr>
                  <w:rStyle w:val="Hyperlink"/>
                  <w:sz w:val="20"/>
                  <w:szCs w:val="20"/>
                  <w:lang w:val="fr-FR"/>
                </w:rPr>
                <w:t xml:space="preserve"> 6</w:t>
              </w:r>
            </w:hyperlink>
            <w:r w:rsidR="003509ED" w:rsidRPr="00426D46">
              <w:rPr>
                <w:sz w:val="20"/>
                <w:szCs w:val="20"/>
                <w:lang w:val="fr-FR"/>
              </w:rPr>
              <w:t>)</w:t>
            </w:r>
          </w:p>
        </w:tc>
        <w:tc>
          <w:tcPr>
            <w:tcW w:w="680" w:type="pct"/>
          </w:tcPr>
          <w:p w14:paraId="2D8983B4" w14:textId="1BD51DDC" w:rsidR="00A25D2F" w:rsidRPr="00426D46" w:rsidRDefault="00084569" w:rsidP="00184C60">
            <w:pPr>
              <w:pStyle w:val="ListParagraph"/>
              <w:numPr>
                <w:ilvl w:val="0"/>
                <w:numId w:val="11"/>
              </w:numPr>
              <w:spacing w:before="80" w:after="80"/>
              <w:rPr>
                <w:sz w:val="20"/>
                <w:szCs w:val="20"/>
                <w:lang w:val="fr-FR"/>
              </w:rPr>
            </w:pPr>
            <w:r w:rsidRPr="00426D46">
              <w:rPr>
                <w:sz w:val="20"/>
                <w:szCs w:val="20"/>
                <w:lang w:val="fr-FR"/>
              </w:rPr>
              <w:lastRenderedPageBreak/>
              <w:t xml:space="preserve">Fiche de </w:t>
            </w:r>
            <w:r w:rsidR="00184C60" w:rsidRPr="00426D46">
              <w:rPr>
                <w:sz w:val="20"/>
                <w:szCs w:val="20"/>
                <w:lang w:val="fr-FR"/>
              </w:rPr>
              <w:t>conseil</w:t>
            </w:r>
            <w:r w:rsidRPr="00426D46">
              <w:rPr>
                <w:sz w:val="20"/>
                <w:szCs w:val="20"/>
                <w:lang w:val="fr-FR"/>
              </w:rPr>
              <w:t>s</w:t>
            </w:r>
            <w:r w:rsidR="00184C60" w:rsidRPr="00426D46">
              <w:rPr>
                <w:sz w:val="20"/>
                <w:szCs w:val="20"/>
                <w:lang w:val="fr-FR"/>
              </w:rPr>
              <w:t xml:space="preserve"> sur </w:t>
            </w:r>
            <w:r w:rsidR="00184C60" w:rsidRPr="00426D46">
              <w:rPr>
                <w:sz w:val="20"/>
                <w:szCs w:val="20"/>
                <w:lang w:val="fr-FR"/>
              </w:rPr>
              <w:lastRenderedPageBreak/>
              <w:t xml:space="preserve">l’intégration de la protection </w:t>
            </w:r>
            <w:r w:rsidR="00A25D2F" w:rsidRPr="00426D46">
              <w:rPr>
                <w:b/>
                <w:bCs/>
                <w:sz w:val="20"/>
                <w:szCs w:val="20"/>
                <w:lang w:val="fr-FR"/>
              </w:rPr>
              <w:t>(</w:t>
            </w:r>
            <w:hyperlink r:id="rId14" w:history="1">
              <w:r w:rsidR="00A25D2F" w:rsidRPr="00426D46">
                <w:rPr>
                  <w:b/>
                  <w:bCs/>
                  <w:sz w:val="20"/>
                  <w:szCs w:val="20"/>
                  <w:lang w:val="fr-FR"/>
                </w:rPr>
                <w:t>CP AoR</w:t>
              </w:r>
            </w:hyperlink>
            <w:r w:rsidR="00A25D2F" w:rsidRPr="00426D46">
              <w:rPr>
                <w:b/>
                <w:bCs/>
                <w:sz w:val="20"/>
                <w:szCs w:val="20"/>
                <w:lang w:val="fr-FR"/>
              </w:rPr>
              <w:t>)</w:t>
            </w:r>
            <w:r w:rsidR="00A25D2F" w:rsidRPr="00426D46">
              <w:rPr>
                <w:sz w:val="20"/>
                <w:szCs w:val="20"/>
                <w:lang w:val="fr-FR"/>
              </w:rPr>
              <w:t xml:space="preserve"> </w:t>
            </w:r>
          </w:p>
          <w:p w14:paraId="4B818E69" w14:textId="77777777" w:rsidR="00102D37" w:rsidRPr="00374623" w:rsidRDefault="00084569" w:rsidP="00184C60">
            <w:pPr>
              <w:pStyle w:val="ListParagraph"/>
              <w:numPr>
                <w:ilvl w:val="0"/>
                <w:numId w:val="11"/>
              </w:numPr>
              <w:spacing w:before="80" w:after="80"/>
              <w:rPr>
                <w:sz w:val="20"/>
                <w:szCs w:val="20"/>
                <w:lang w:val="fr-FR"/>
              </w:rPr>
            </w:pPr>
            <w:r w:rsidRPr="00426D46">
              <w:rPr>
                <w:sz w:val="20"/>
                <w:szCs w:val="20"/>
                <w:lang w:val="fr-FR"/>
              </w:rPr>
              <w:t>Checklist</w:t>
            </w:r>
            <w:r w:rsidR="00184C60" w:rsidRPr="00426D46">
              <w:rPr>
                <w:sz w:val="20"/>
                <w:szCs w:val="20"/>
                <w:lang w:val="fr-FR"/>
              </w:rPr>
              <w:t xml:space="preserve"> pour l’intégration du Cluster </w:t>
            </w:r>
            <w:r w:rsidR="00131849" w:rsidRPr="00426D46">
              <w:rPr>
                <w:sz w:val="20"/>
                <w:szCs w:val="20"/>
                <w:lang w:val="fr-FR"/>
              </w:rPr>
              <w:t>E</w:t>
            </w:r>
            <w:r w:rsidRPr="00426D46">
              <w:rPr>
                <w:sz w:val="20"/>
                <w:szCs w:val="20"/>
                <w:lang w:val="fr-FR"/>
              </w:rPr>
              <w:t xml:space="preserve">ducation et de </w:t>
            </w:r>
            <w:r w:rsidR="00131849" w:rsidRPr="00426D46">
              <w:rPr>
                <w:sz w:val="20"/>
                <w:szCs w:val="20"/>
                <w:lang w:val="fr-FR"/>
              </w:rPr>
              <w:t>Protection des enfants</w:t>
            </w:r>
            <w:r w:rsidR="00184C60" w:rsidRPr="00426D46">
              <w:rPr>
                <w:sz w:val="20"/>
                <w:szCs w:val="20"/>
                <w:lang w:val="fr-FR"/>
              </w:rPr>
              <w:t xml:space="preserve"> </w:t>
            </w:r>
            <w:r w:rsidR="00A25D2F" w:rsidRPr="00426D46">
              <w:rPr>
                <w:sz w:val="20"/>
                <w:szCs w:val="20"/>
                <w:lang w:val="fr-FR"/>
              </w:rPr>
              <w:t xml:space="preserve"> </w:t>
            </w:r>
            <w:r w:rsidR="00A25D2F" w:rsidRPr="00426D46">
              <w:rPr>
                <w:b/>
                <w:bCs/>
                <w:sz w:val="20"/>
                <w:szCs w:val="20"/>
                <w:lang w:val="fr-FR"/>
              </w:rPr>
              <w:t>(</w:t>
            </w:r>
            <w:hyperlink r:id="rId15" w:history="1">
              <w:r w:rsidR="00A25D2F" w:rsidRPr="00426D46">
                <w:rPr>
                  <w:b/>
                  <w:bCs/>
                  <w:sz w:val="20"/>
                  <w:szCs w:val="20"/>
                  <w:lang w:val="fr-FR"/>
                </w:rPr>
                <w:t>CP AoR</w:t>
              </w:r>
            </w:hyperlink>
            <w:r w:rsidR="00A25D2F" w:rsidRPr="00426D46">
              <w:rPr>
                <w:b/>
                <w:bCs/>
                <w:sz w:val="20"/>
                <w:szCs w:val="20"/>
                <w:lang w:val="fr-FR"/>
              </w:rPr>
              <w:t>)</w:t>
            </w:r>
          </w:p>
          <w:p w14:paraId="327018AB" w14:textId="04EC900C" w:rsidR="00374623" w:rsidRPr="00426D46" w:rsidRDefault="00427DD6" w:rsidP="00184C60">
            <w:pPr>
              <w:pStyle w:val="ListParagraph"/>
              <w:numPr>
                <w:ilvl w:val="0"/>
                <w:numId w:val="11"/>
              </w:numPr>
              <w:spacing w:before="80" w:after="80"/>
              <w:rPr>
                <w:sz w:val="20"/>
                <w:szCs w:val="20"/>
                <w:lang w:val="fr-FR"/>
              </w:rPr>
            </w:pPr>
            <w:hyperlink r:id="rId16" w:history="1">
              <w:r w:rsidR="00374623" w:rsidRPr="00374623">
                <w:rPr>
                  <w:rStyle w:val="Hyperlink"/>
                  <w:sz w:val="20"/>
                  <w:szCs w:val="20"/>
                  <w:lang w:val="fr-FR"/>
                </w:rPr>
                <w:t>Roles et responsabilités Excel pour SMPS</w:t>
              </w:r>
            </w:hyperlink>
            <w:r w:rsidR="00374623">
              <w:rPr>
                <w:sz w:val="20"/>
                <w:szCs w:val="20"/>
                <w:lang w:val="fr-FR"/>
              </w:rPr>
              <w:t xml:space="preserve"> </w:t>
            </w:r>
            <w:r w:rsidR="00374623" w:rsidRPr="00257BDB">
              <w:rPr>
                <w:sz w:val="20"/>
                <w:szCs w:val="20"/>
                <w:lang w:val="fr-FR"/>
              </w:rPr>
              <w:t>(</w:t>
            </w:r>
            <w:r w:rsidR="00374623" w:rsidRPr="00257BDB">
              <w:rPr>
                <w:sz w:val="20"/>
                <w:szCs w:val="20"/>
              </w:rPr>
              <w:t>MHPSS)</w:t>
            </w:r>
          </w:p>
        </w:tc>
        <w:tc>
          <w:tcPr>
            <w:tcW w:w="2718" w:type="pct"/>
          </w:tcPr>
          <w:p w14:paraId="5FF43C8E" w14:textId="71854B1F" w:rsidR="002D23F1" w:rsidRPr="00426D46" w:rsidRDefault="008E7CC3" w:rsidP="008E7CC3">
            <w:pPr>
              <w:pStyle w:val="ListParagraph"/>
              <w:numPr>
                <w:ilvl w:val="0"/>
                <w:numId w:val="11"/>
              </w:numPr>
              <w:spacing w:before="80" w:after="80"/>
              <w:rPr>
                <w:sz w:val="20"/>
                <w:szCs w:val="20"/>
                <w:lang w:val="fr-FR"/>
              </w:rPr>
            </w:pPr>
            <w:r w:rsidRPr="00426D46">
              <w:rPr>
                <w:sz w:val="20"/>
                <w:szCs w:val="20"/>
                <w:lang w:val="fr-FR"/>
              </w:rPr>
              <w:lastRenderedPageBreak/>
              <w:t>Considérations du CP-EiE pendant le ciblage</w:t>
            </w:r>
            <w:r w:rsidR="002D23F1" w:rsidRPr="00426D46">
              <w:rPr>
                <w:sz w:val="20"/>
                <w:szCs w:val="20"/>
                <w:lang w:val="fr-FR"/>
              </w:rPr>
              <w:t xml:space="preserve"> (</w:t>
            </w:r>
            <w:hyperlink r:id="rId17" w:history="1">
              <w:r w:rsidR="002D23F1" w:rsidRPr="00426D46">
                <w:rPr>
                  <w:rStyle w:val="Hyperlink"/>
                  <w:sz w:val="20"/>
                  <w:szCs w:val="20"/>
                  <w:lang w:val="fr-FR"/>
                </w:rPr>
                <w:t>Annex</w:t>
              </w:r>
              <w:r w:rsidR="005E2426" w:rsidRPr="00426D46">
                <w:rPr>
                  <w:rStyle w:val="Hyperlink"/>
                  <w:sz w:val="20"/>
                  <w:szCs w:val="20"/>
                  <w:lang w:val="fr-FR"/>
                </w:rPr>
                <w:t>e</w:t>
              </w:r>
              <w:r w:rsidR="002D23F1" w:rsidRPr="00426D46">
                <w:rPr>
                  <w:rStyle w:val="Hyperlink"/>
                  <w:sz w:val="20"/>
                  <w:szCs w:val="20"/>
                  <w:lang w:val="fr-FR"/>
                </w:rPr>
                <w:t xml:space="preserve"> 7</w:t>
              </w:r>
            </w:hyperlink>
            <w:r w:rsidR="002D23F1" w:rsidRPr="00426D46">
              <w:rPr>
                <w:sz w:val="20"/>
                <w:szCs w:val="20"/>
                <w:lang w:val="fr-FR"/>
              </w:rPr>
              <w:t>)</w:t>
            </w:r>
          </w:p>
          <w:p w14:paraId="2305192D" w14:textId="5E001AFC" w:rsidR="00551C0B" w:rsidRPr="00426D46" w:rsidRDefault="008E7CC3" w:rsidP="008E7CC3">
            <w:pPr>
              <w:pStyle w:val="ListParagraph"/>
              <w:numPr>
                <w:ilvl w:val="0"/>
                <w:numId w:val="11"/>
              </w:numPr>
              <w:spacing w:before="80" w:after="80"/>
              <w:rPr>
                <w:rStyle w:val="Hyperlink"/>
                <w:color w:val="auto"/>
                <w:sz w:val="20"/>
                <w:szCs w:val="20"/>
                <w:u w:val="none"/>
                <w:lang w:val="fr-FR"/>
              </w:rPr>
            </w:pPr>
            <w:r w:rsidRPr="00426D46">
              <w:rPr>
                <w:color w:val="4472C4" w:themeColor="accent1"/>
                <w:sz w:val="20"/>
                <w:szCs w:val="20"/>
                <w:u w:val="single"/>
              </w:rPr>
              <w:t>Guide du Modèle de Plan de Réponse Humanitaire, 2019</w:t>
            </w:r>
            <w:r w:rsidRPr="00426D46">
              <w:rPr>
                <w:color w:val="4472C4" w:themeColor="accent1"/>
                <w:sz w:val="20"/>
                <w:szCs w:val="20"/>
              </w:rPr>
              <w:t xml:space="preserve">   </w:t>
            </w:r>
          </w:p>
          <w:p w14:paraId="2CE05852" w14:textId="1B6AE1E4" w:rsidR="00551C0B" w:rsidRPr="00426D46" w:rsidRDefault="00427DD6" w:rsidP="008E7CC3">
            <w:pPr>
              <w:pStyle w:val="ListParagraph"/>
              <w:numPr>
                <w:ilvl w:val="0"/>
                <w:numId w:val="11"/>
              </w:numPr>
              <w:spacing w:before="80" w:after="80"/>
              <w:rPr>
                <w:rStyle w:val="Hyperlink"/>
                <w:color w:val="auto"/>
                <w:sz w:val="20"/>
                <w:szCs w:val="20"/>
                <w:u w:val="none"/>
                <w:lang w:val="fr-FR"/>
              </w:rPr>
            </w:pPr>
            <w:hyperlink r:id="rId18" w:history="1">
              <w:r w:rsidR="00551C0B" w:rsidRPr="00426D46">
                <w:rPr>
                  <w:rStyle w:val="Hyperlink"/>
                  <w:rFonts w:eastAsia="Times New Roman" w:cs="Times New Roman"/>
                  <w:sz w:val="20"/>
                  <w:szCs w:val="20"/>
                  <w:lang w:val="fr-FR"/>
                </w:rPr>
                <w:t>Cluster</w:t>
              </w:r>
              <w:r w:rsidR="008E7CC3" w:rsidRPr="00426D46">
                <w:rPr>
                  <w:rStyle w:val="Hyperlink"/>
                  <w:rFonts w:eastAsia="Times New Roman" w:cs="Times New Roman"/>
                  <w:sz w:val="20"/>
                  <w:szCs w:val="20"/>
                  <w:lang w:val="fr-FR"/>
                </w:rPr>
                <w:t xml:space="preserve"> Education Mondial</w:t>
              </w:r>
              <w:r w:rsidR="00551C0B" w:rsidRPr="00426D46">
                <w:rPr>
                  <w:rStyle w:val="Hyperlink"/>
                  <w:rFonts w:eastAsia="Times New Roman" w:cs="Times New Roman"/>
                  <w:sz w:val="20"/>
                  <w:szCs w:val="20"/>
                  <w:lang w:val="fr-FR"/>
                </w:rPr>
                <w:t xml:space="preserve"> </w:t>
              </w:r>
              <w:r w:rsidR="008E7CC3" w:rsidRPr="00426D46">
                <w:rPr>
                  <w:rStyle w:val="Hyperlink"/>
                  <w:rFonts w:eastAsia="Times New Roman" w:cs="Times New Roman"/>
                  <w:sz w:val="20"/>
                  <w:szCs w:val="20"/>
                  <w:lang w:val="fr-FR"/>
                </w:rPr>
                <w:t xml:space="preserve">Guide sommaire de l’élaboration de stratégies du Cluster Education, 2018     </w:t>
              </w:r>
            </w:hyperlink>
          </w:p>
          <w:p w14:paraId="3CDF4837" w14:textId="77777777" w:rsidR="008E7CC3" w:rsidRPr="00426D46" w:rsidRDefault="008E7CC3" w:rsidP="008E7CC3">
            <w:pPr>
              <w:pStyle w:val="ListParagraph"/>
              <w:spacing w:before="80" w:after="80"/>
              <w:rPr>
                <w:rStyle w:val="Hyperlink"/>
                <w:color w:val="auto"/>
                <w:sz w:val="20"/>
                <w:szCs w:val="20"/>
                <w:u w:val="none"/>
                <w:lang w:val="fr-FR"/>
              </w:rPr>
            </w:pPr>
          </w:p>
          <w:p w14:paraId="2C733346" w14:textId="77777777" w:rsidR="00551C0B" w:rsidRPr="00426D46" w:rsidRDefault="00551C0B" w:rsidP="00551C0B">
            <w:pPr>
              <w:pStyle w:val="ListParagraph"/>
              <w:spacing w:before="80" w:after="80"/>
              <w:ind w:left="284"/>
              <w:rPr>
                <w:sz w:val="20"/>
                <w:szCs w:val="20"/>
                <w:lang w:val="fr-FR"/>
              </w:rPr>
            </w:pPr>
          </w:p>
          <w:p w14:paraId="35A90214" w14:textId="184960F5" w:rsidR="00551C0B" w:rsidRPr="00426D46" w:rsidRDefault="008E7CC3" w:rsidP="008E7CC3">
            <w:pPr>
              <w:pStyle w:val="ListParagraph"/>
              <w:numPr>
                <w:ilvl w:val="0"/>
                <w:numId w:val="11"/>
              </w:numPr>
              <w:spacing w:before="80" w:after="80"/>
              <w:rPr>
                <w:rStyle w:val="Hyperlink"/>
                <w:b/>
                <w:color w:val="auto"/>
                <w:sz w:val="20"/>
                <w:szCs w:val="20"/>
                <w:u w:val="none"/>
                <w:lang w:val="fr-FR"/>
              </w:rPr>
            </w:pPr>
            <w:r w:rsidRPr="00426D46">
              <w:rPr>
                <w:color w:val="4472C4" w:themeColor="accent1"/>
                <w:sz w:val="20"/>
                <w:szCs w:val="20"/>
                <w:lang w:val="fr-FR"/>
              </w:rPr>
              <w:t xml:space="preserve">Intégrer la Redevabilité à l’égard des Populations touchées dans le Cycle du Programme Humanitaire, 2018     </w:t>
            </w:r>
          </w:p>
          <w:p w14:paraId="116F242D" w14:textId="6378CC69" w:rsidR="00551C0B" w:rsidRPr="00426D46" w:rsidRDefault="0035109B" w:rsidP="004B6686">
            <w:pPr>
              <w:pStyle w:val="ListParagraph"/>
              <w:numPr>
                <w:ilvl w:val="0"/>
                <w:numId w:val="11"/>
              </w:numPr>
              <w:spacing w:before="80" w:after="80"/>
              <w:rPr>
                <w:sz w:val="20"/>
                <w:szCs w:val="20"/>
                <w:lang w:val="fr-FR"/>
              </w:rPr>
            </w:pPr>
            <w:r w:rsidRPr="00426D46">
              <w:rPr>
                <w:rFonts w:eastAsia="Times New Roman"/>
                <w:sz w:val="20"/>
                <w:szCs w:val="20"/>
                <w:lang w:val="fr-FR"/>
              </w:rPr>
              <w:t xml:space="preserve">Pour les considérations liées au </w:t>
            </w:r>
            <w:r w:rsidR="004B6686" w:rsidRPr="00426D46">
              <w:rPr>
                <w:rFonts w:eastAsia="Times New Roman"/>
                <w:sz w:val="20"/>
                <w:szCs w:val="20"/>
                <w:lang w:val="fr-FR"/>
              </w:rPr>
              <w:t xml:space="preserve">genre dans la planification stratégique, voir </w:t>
            </w:r>
            <w:r w:rsidR="004B6686" w:rsidRPr="00426D46">
              <w:rPr>
                <w:rFonts w:eastAsia="Times New Roman"/>
                <w:color w:val="4472C4" w:themeColor="accent1"/>
                <w:sz w:val="20"/>
                <w:szCs w:val="20"/>
                <w:lang w:val="fr-FR"/>
              </w:rPr>
              <w:t xml:space="preserve">la note d’orientation de l’INEE sur le genre </w:t>
            </w:r>
            <w:r w:rsidR="004B6686" w:rsidRPr="00426D46">
              <w:rPr>
                <w:rFonts w:eastAsia="Times New Roman"/>
                <w:color w:val="44546A" w:themeColor="text2"/>
                <w:sz w:val="20"/>
                <w:szCs w:val="20"/>
                <w:lang w:val="fr-FR"/>
              </w:rPr>
              <w:t>(</w:t>
            </w:r>
            <w:hyperlink r:id="rId19" w:history="1">
              <w:r w:rsidR="004B6686" w:rsidRPr="00426D46">
                <w:rPr>
                  <w:rStyle w:val="Hyperlink"/>
                  <w:rFonts w:eastAsia="Times New Roman"/>
                  <w:sz w:val="20"/>
                  <w:szCs w:val="20"/>
                  <w:lang w:val="fr-FR"/>
                </w:rPr>
                <w:t>INEE Guidance Note on Gender</w:t>
              </w:r>
            </w:hyperlink>
            <w:r w:rsidR="004B6686" w:rsidRPr="00426D46">
              <w:rPr>
                <w:rFonts w:eastAsia="Times New Roman"/>
                <w:color w:val="4472C4" w:themeColor="accent1"/>
                <w:sz w:val="20"/>
                <w:szCs w:val="20"/>
                <w:lang w:val="fr-FR"/>
              </w:rPr>
              <w:t xml:space="preserve">, </w:t>
            </w:r>
            <w:r w:rsidR="004B6686" w:rsidRPr="00426D46">
              <w:rPr>
                <w:rFonts w:eastAsia="Times New Roman"/>
                <w:sz w:val="20"/>
                <w:szCs w:val="20"/>
                <w:lang w:val="fr-FR"/>
              </w:rPr>
              <w:t>2019) Stratégies pour une planification e</w:t>
            </w:r>
            <w:r w:rsidR="00213F35" w:rsidRPr="00426D46">
              <w:rPr>
                <w:rFonts w:eastAsia="Times New Roman"/>
                <w:sz w:val="20"/>
                <w:szCs w:val="20"/>
                <w:lang w:val="fr-FR"/>
              </w:rPr>
              <w:t>t une mise en œuvre qui tiennent</w:t>
            </w:r>
            <w:r w:rsidRPr="00426D46">
              <w:rPr>
                <w:rFonts w:eastAsia="Times New Roman"/>
                <w:sz w:val="20"/>
                <w:szCs w:val="20"/>
                <w:lang w:val="fr-FR"/>
              </w:rPr>
              <w:t xml:space="preserve"> compte du</w:t>
            </w:r>
            <w:r w:rsidR="004B6686" w:rsidRPr="00426D46">
              <w:rPr>
                <w:rFonts w:eastAsia="Times New Roman"/>
                <w:sz w:val="20"/>
                <w:szCs w:val="20"/>
                <w:lang w:val="fr-FR"/>
              </w:rPr>
              <w:t xml:space="preserve"> genre p. 94-97    </w:t>
            </w:r>
          </w:p>
        </w:tc>
        <w:tc>
          <w:tcPr>
            <w:tcW w:w="874" w:type="pct"/>
          </w:tcPr>
          <w:p w14:paraId="6FCB93D5" w14:textId="505EE4AD" w:rsidR="00551C0B" w:rsidRPr="00426D46" w:rsidRDefault="004A7712" w:rsidP="004A7712">
            <w:pPr>
              <w:pStyle w:val="ListParagraph"/>
              <w:numPr>
                <w:ilvl w:val="0"/>
                <w:numId w:val="8"/>
              </w:numPr>
              <w:spacing w:before="40"/>
              <w:rPr>
                <w:sz w:val="20"/>
                <w:szCs w:val="20"/>
                <w:lang w:val="fr-FR"/>
              </w:rPr>
            </w:pPr>
            <w:r w:rsidRPr="00426D46">
              <w:rPr>
                <w:rFonts w:eastAsia="Times New Roman"/>
                <w:sz w:val="20"/>
                <w:szCs w:val="20"/>
                <w:lang w:val="fr-FR"/>
              </w:rPr>
              <w:lastRenderedPageBreak/>
              <w:t>Considérations du CP-EiE</w:t>
            </w:r>
            <w:r w:rsidR="00297384" w:rsidRPr="00426D46">
              <w:rPr>
                <w:rFonts w:eastAsia="Times New Roman"/>
                <w:sz w:val="20"/>
                <w:szCs w:val="20"/>
                <w:lang w:val="fr-FR"/>
              </w:rPr>
              <w:t xml:space="preserve"> relatives au</w:t>
            </w:r>
            <w:r w:rsidR="005E79BB" w:rsidRPr="00426D46">
              <w:rPr>
                <w:rFonts w:eastAsia="Times New Roman"/>
                <w:sz w:val="20"/>
                <w:szCs w:val="20"/>
                <w:lang w:val="fr-FR"/>
              </w:rPr>
              <w:t xml:space="preserve">x </w:t>
            </w:r>
            <w:r w:rsidRPr="00426D46">
              <w:rPr>
                <w:rFonts w:eastAsia="Times New Roman"/>
                <w:sz w:val="20"/>
                <w:szCs w:val="20"/>
                <w:lang w:val="fr-FR"/>
              </w:rPr>
              <w:lastRenderedPageBreak/>
              <w:t xml:space="preserve">objectifs collectifs et les arrangements d’indicateurs </w:t>
            </w:r>
            <w:r w:rsidR="002D23F1" w:rsidRPr="00426D46">
              <w:rPr>
                <w:sz w:val="20"/>
                <w:szCs w:val="20"/>
                <w:lang w:val="fr-FR"/>
              </w:rPr>
              <w:t>(</w:t>
            </w:r>
            <w:hyperlink r:id="rId20" w:history="1">
              <w:r w:rsidR="002D23F1" w:rsidRPr="00426D46">
                <w:rPr>
                  <w:rStyle w:val="Hyperlink"/>
                  <w:sz w:val="20"/>
                  <w:szCs w:val="20"/>
                  <w:lang w:val="fr-FR"/>
                </w:rPr>
                <w:t>Annex</w:t>
              </w:r>
              <w:r w:rsidR="005E2426" w:rsidRPr="00426D46">
                <w:rPr>
                  <w:rStyle w:val="Hyperlink"/>
                  <w:sz w:val="20"/>
                  <w:szCs w:val="20"/>
                  <w:lang w:val="fr-FR"/>
                </w:rPr>
                <w:t>e</w:t>
              </w:r>
              <w:r w:rsidR="002D23F1" w:rsidRPr="00426D46">
                <w:rPr>
                  <w:rStyle w:val="Hyperlink"/>
                  <w:sz w:val="20"/>
                  <w:szCs w:val="20"/>
                  <w:lang w:val="fr-FR"/>
                </w:rPr>
                <w:t xml:space="preserve"> 8</w:t>
              </w:r>
            </w:hyperlink>
            <w:r w:rsidR="002D23F1" w:rsidRPr="00426D46">
              <w:rPr>
                <w:sz w:val="20"/>
                <w:szCs w:val="20"/>
                <w:lang w:val="fr-FR"/>
              </w:rPr>
              <w:t>)</w:t>
            </w:r>
          </w:p>
        </w:tc>
      </w:tr>
    </w:tbl>
    <w:p w14:paraId="688838C5" w14:textId="1F0FF6A8" w:rsidR="00856C15" w:rsidRPr="004A7712" w:rsidRDefault="00856C15" w:rsidP="0037509F">
      <w:pPr>
        <w:jc w:val="both"/>
        <w:rPr>
          <w:sz w:val="24"/>
          <w:szCs w:val="24"/>
          <w:lang w:val="fr-FR"/>
        </w:rPr>
      </w:pPr>
    </w:p>
    <w:p w14:paraId="6D1EC263" w14:textId="51894226" w:rsidR="003814DE" w:rsidRPr="004A7712" w:rsidRDefault="003814DE" w:rsidP="00CD5E03">
      <w:pPr>
        <w:rPr>
          <w:b/>
          <w:lang w:val="fr-FR"/>
        </w:rPr>
      </w:pPr>
    </w:p>
    <w:sectPr w:rsidR="003814DE" w:rsidRPr="004A7712" w:rsidSect="00512BF8">
      <w:headerReference w:type="default" r:id="rId21"/>
      <w:pgSz w:w="15840" w:h="12240" w:orient="landscape"/>
      <w:pgMar w:top="567" w:right="1440" w:bottom="567" w:left="1440" w:header="391"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06D547" w14:textId="77777777" w:rsidR="00427DD6" w:rsidRDefault="00427DD6" w:rsidP="004D291C">
      <w:pPr>
        <w:spacing w:after="0" w:line="240" w:lineRule="auto"/>
      </w:pPr>
      <w:r>
        <w:separator/>
      </w:r>
    </w:p>
  </w:endnote>
  <w:endnote w:type="continuationSeparator" w:id="0">
    <w:p w14:paraId="72FC3CF8" w14:textId="77777777" w:rsidR="00427DD6" w:rsidRDefault="00427DD6" w:rsidP="004D2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605D11" w14:textId="77777777" w:rsidR="00427DD6" w:rsidRDefault="00427DD6" w:rsidP="004D291C">
      <w:pPr>
        <w:spacing w:after="0" w:line="240" w:lineRule="auto"/>
      </w:pPr>
      <w:r>
        <w:separator/>
      </w:r>
    </w:p>
  </w:footnote>
  <w:footnote w:type="continuationSeparator" w:id="0">
    <w:p w14:paraId="28EA74D1" w14:textId="77777777" w:rsidR="00427DD6" w:rsidRDefault="00427DD6" w:rsidP="004D2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B9F8BA" w14:textId="048B2D1C" w:rsidR="009477D0" w:rsidRPr="00977659" w:rsidRDefault="00427DD6" w:rsidP="00977659">
    <w:pPr>
      <w:jc w:val="center"/>
      <w:rPr>
        <w:color w:val="0563C1" w:themeColor="hyperlink"/>
        <w:sz w:val="28"/>
        <w:szCs w:val="28"/>
        <w:u w:val="single"/>
        <w:lang w:val="fr-FR"/>
      </w:rPr>
    </w:pPr>
    <w:hyperlink r:id="rId1" w:history="1">
      <w:r w:rsidR="00977659" w:rsidRPr="00977659">
        <w:rPr>
          <w:rStyle w:val="Hyperlink"/>
          <w:sz w:val="28"/>
          <w:szCs w:val="28"/>
          <w:lang w:val="fr-FR"/>
        </w:rPr>
        <w:t>Package</w:t>
      </w:r>
    </w:hyperlink>
    <w:r w:rsidR="00977659" w:rsidRPr="00977659">
      <w:rPr>
        <w:rStyle w:val="Hyperlink"/>
        <w:sz w:val="28"/>
        <w:szCs w:val="28"/>
        <w:lang w:val="fr-FR"/>
      </w:rPr>
      <w:t xml:space="preserve"> </w:t>
    </w:r>
    <w:r w:rsidR="00977659">
      <w:rPr>
        <w:sz w:val="28"/>
        <w:szCs w:val="28"/>
        <w:u w:val="single"/>
        <w:lang w:val="fr-FR"/>
      </w:rPr>
      <w:t xml:space="preserve">du </w:t>
    </w:r>
    <w:r w:rsidR="00977659" w:rsidRPr="00D542DE">
      <w:rPr>
        <w:sz w:val="28"/>
        <w:szCs w:val="28"/>
        <w:u w:val="single"/>
        <w:lang w:val="fr-FR"/>
      </w:rPr>
      <w:t xml:space="preserve">Cadre de Collaboration CP-EiE </w:t>
    </w:r>
    <w:r w:rsidR="009477D0" w:rsidRPr="00BB34F7">
      <w:rPr>
        <w:noProof/>
        <w:sz w:val="28"/>
        <w:szCs w:val="28"/>
        <w:u w:val="single"/>
        <w:lang w:val="fr-FR" w:eastAsia="fr-FR"/>
      </w:rPr>
      <w:drawing>
        <wp:anchor distT="0" distB="0" distL="114300" distR="114300" simplePos="0" relativeHeight="251659264" behindDoc="0" locked="0" layoutInCell="1" allowOverlap="1" wp14:anchorId="7B87E749" wp14:editId="27C0D50E">
          <wp:simplePos x="0" y="0"/>
          <wp:positionH relativeFrom="column">
            <wp:posOffset>8126095</wp:posOffset>
          </wp:positionH>
          <wp:positionV relativeFrom="paragraph">
            <wp:posOffset>11430</wp:posOffset>
          </wp:positionV>
          <wp:extent cx="735330" cy="266065"/>
          <wp:effectExtent l="0" t="0" r="7620" b="635"/>
          <wp:wrapNone/>
          <wp:docPr id="8" name="Picture 8"/>
          <wp:cNvGraphicFramePr/>
          <a:graphic xmlns:a="http://schemas.openxmlformats.org/drawingml/2006/main">
            <a:graphicData uri="http://schemas.openxmlformats.org/drawingml/2006/picture">
              <pic:pic xmlns:pic="http://schemas.openxmlformats.org/drawingml/2006/picture">
                <pic:nvPicPr>
                  <pic:cNvPr id="5" name="Picture 4"/>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5330" cy="266065"/>
                  </a:xfrm>
                  <a:prstGeom prst="rect">
                    <a:avLst/>
                  </a:prstGeom>
                  <a:noFill/>
                </pic:spPr>
              </pic:pic>
            </a:graphicData>
          </a:graphic>
          <wp14:sizeRelH relativeFrom="page">
            <wp14:pctWidth>0</wp14:pctWidth>
          </wp14:sizeRelH>
          <wp14:sizeRelV relativeFrom="page">
            <wp14:pctHeight>0</wp14:pctHeight>
          </wp14:sizeRelV>
        </wp:anchor>
      </w:drawing>
    </w:r>
    <w:r w:rsidR="009477D0" w:rsidRPr="00BB34F7">
      <w:rPr>
        <w:noProof/>
        <w:sz w:val="28"/>
        <w:szCs w:val="28"/>
        <w:u w:val="single"/>
        <w:lang w:val="fr-FR" w:eastAsia="fr-FR"/>
      </w:rPr>
      <w:drawing>
        <wp:anchor distT="0" distB="0" distL="114300" distR="114300" simplePos="0" relativeHeight="251660288" behindDoc="0" locked="0" layoutInCell="1" allowOverlap="1" wp14:anchorId="2BBA458A" wp14:editId="240A959A">
          <wp:simplePos x="0" y="0"/>
          <wp:positionH relativeFrom="column">
            <wp:posOffset>7346315</wp:posOffset>
          </wp:positionH>
          <wp:positionV relativeFrom="paragraph">
            <wp:posOffset>-132715</wp:posOffset>
          </wp:positionV>
          <wp:extent cx="707390" cy="472440"/>
          <wp:effectExtent l="0" t="0" r="0" b="381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707390" cy="4724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207B6"/>
    <w:multiLevelType w:val="hybridMultilevel"/>
    <w:tmpl w:val="E9B0B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B86CA9"/>
    <w:multiLevelType w:val="hybridMultilevel"/>
    <w:tmpl w:val="8B4C6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644C4B"/>
    <w:multiLevelType w:val="hybridMultilevel"/>
    <w:tmpl w:val="1F08D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A90985"/>
    <w:multiLevelType w:val="hybridMultilevel"/>
    <w:tmpl w:val="C0A617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03010C"/>
    <w:multiLevelType w:val="hybridMultilevel"/>
    <w:tmpl w:val="B95A4BE4"/>
    <w:lvl w:ilvl="0" w:tplc="F8A0D27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F3065F"/>
    <w:multiLevelType w:val="hybridMultilevel"/>
    <w:tmpl w:val="4E8E0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236E5E"/>
    <w:multiLevelType w:val="hybridMultilevel"/>
    <w:tmpl w:val="CD700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980FEF"/>
    <w:multiLevelType w:val="multilevel"/>
    <w:tmpl w:val="C42C7026"/>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AF16628"/>
    <w:multiLevelType w:val="hybridMultilevel"/>
    <w:tmpl w:val="CD8637B2"/>
    <w:lvl w:ilvl="0" w:tplc="E87A4FB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F183B"/>
    <w:multiLevelType w:val="hybridMultilevel"/>
    <w:tmpl w:val="82FC5CCC"/>
    <w:lvl w:ilvl="0" w:tplc="613CD93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043309"/>
    <w:multiLevelType w:val="hybridMultilevel"/>
    <w:tmpl w:val="AF7A7A98"/>
    <w:lvl w:ilvl="0" w:tplc="613CD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21225F"/>
    <w:multiLevelType w:val="hybridMultilevel"/>
    <w:tmpl w:val="A4C00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600E7A"/>
    <w:multiLevelType w:val="hybridMultilevel"/>
    <w:tmpl w:val="1E585CA4"/>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777" w:hanging="360"/>
      </w:pPr>
      <w:rPr>
        <w:rFonts w:ascii="Courier New" w:hAnsi="Courier New"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6353A4"/>
    <w:multiLevelType w:val="hybridMultilevel"/>
    <w:tmpl w:val="07F6D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4450953"/>
    <w:multiLevelType w:val="hybridMultilevel"/>
    <w:tmpl w:val="6DC6AD22"/>
    <w:lvl w:ilvl="0" w:tplc="C8A2637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E97065"/>
    <w:multiLevelType w:val="hybridMultilevel"/>
    <w:tmpl w:val="613E0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773B1C"/>
    <w:multiLevelType w:val="hybridMultilevel"/>
    <w:tmpl w:val="AC7C9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2A4514"/>
    <w:multiLevelType w:val="hybridMultilevel"/>
    <w:tmpl w:val="A642B4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2"/>
  </w:num>
  <w:num w:numId="4">
    <w:abstractNumId w:val="17"/>
  </w:num>
  <w:num w:numId="5">
    <w:abstractNumId w:val="7"/>
  </w:num>
  <w:num w:numId="6">
    <w:abstractNumId w:val="14"/>
  </w:num>
  <w:num w:numId="7">
    <w:abstractNumId w:val="10"/>
  </w:num>
  <w:num w:numId="8">
    <w:abstractNumId w:val="1"/>
  </w:num>
  <w:num w:numId="9">
    <w:abstractNumId w:val="13"/>
  </w:num>
  <w:num w:numId="10">
    <w:abstractNumId w:val="15"/>
  </w:num>
  <w:num w:numId="11">
    <w:abstractNumId w:val="5"/>
  </w:num>
  <w:num w:numId="12">
    <w:abstractNumId w:val="0"/>
  </w:num>
  <w:num w:numId="13">
    <w:abstractNumId w:val="16"/>
  </w:num>
  <w:num w:numId="14">
    <w:abstractNumId w:val="9"/>
  </w:num>
  <w:num w:numId="15">
    <w:abstractNumId w:val="12"/>
  </w:num>
  <w:num w:numId="16">
    <w:abstractNumId w:val="4"/>
  </w:num>
  <w:num w:numId="17">
    <w:abstractNumId w:val="11"/>
  </w:num>
  <w:num w:numId="18">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158"/>
    <w:rsid w:val="00001014"/>
    <w:rsid w:val="000034C1"/>
    <w:rsid w:val="00003AAA"/>
    <w:rsid w:val="00011D71"/>
    <w:rsid w:val="0001289B"/>
    <w:rsid w:val="00012BFE"/>
    <w:rsid w:val="0001519E"/>
    <w:rsid w:val="00022B17"/>
    <w:rsid w:val="00025716"/>
    <w:rsid w:val="00033951"/>
    <w:rsid w:val="00036301"/>
    <w:rsid w:val="000418ED"/>
    <w:rsid w:val="00041A65"/>
    <w:rsid w:val="0004789E"/>
    <w:rsid w:val="00050997"/>
    <w:rsid w:val="00056FDA"/>
    <w:rsid w:val="00061E8A"/>
    <w:rsid w:val="00062C1C"/>
    <w:rsid w:val="0006684F"/>
    <w:rsid w:val="00067196"/>
    <w:rsid w:val="000673F8"/>
    <w:rsid w:val="00082011"/>
    <w:rsid w:val="00084569"/>
    <w:rsid w:val="00087B42"/>
    <w:rsid w:val="0009006D"/>
    <w:rsid w:val="00093F58"/>
    <w:rsid w:val="000A1FD1"/>
    <w:rsid w:val="000A5B51"/>
    <w:rsid w:val="000A7EA9"/>
    <w:rsid w:val="000B161C"/>
    <w:rsid w:val="000B47A3"/>
    <w:rsid w:val="000C681F"/>
    <w:rsid w:val="000C7076"/>
    <w:rsid w:val="000D18AF"/>
    <w:rsid w:val="000D3CB3"/>
    <w:rsid w:val="000D459D"/>
    <w:rsid w:val="000D677B"/>
    <w:rsid w:val="000D7537"/>
    <w:rsid w:val="000E2813"/>
    <w:rsid w:val="000E73B2"/>
    <w:rsid w:val="000F0513"/>
    <w:rsid w:val="000F1388"/>
    <w:rsid w:val="000F1BD0"/>
    <w:rsid w:val="000F7693"/>
    <w:rsid w:val="00102D37"/>
    <w:rsid w:val="00106158"/>
    <w:rsid w:val="001116BE"/>
    <w:rsid w:val="00113195"/>
    <w:rsid w:val="00114737"/>
    <w:rsid w:val="00122DF5"/>
    <w:rsid w:val="00124068"/>
    <w:rsid w:val="001265B1"/>
    <w:rsid w:val="00131849"/>
    <w:rsid w:val="00132128"/>
    <w:rsid w:val="00135FBE"/>
    <w:rsid w:val="00140443"/>
    <w:rsid w:val="00141530"/>
    <w:rsid w:val="0014219F"/>
    <w:rsid w:val="001505EA"/>
    <w:rsid w:val="0016174F"/>
    <w:rsid w:val="00164D0C"/>
    <w:rsid w:val="001671A4"/>
    <w:rsid w:val="001711FB"/>
    <w:rsid w:val="00173975"/>
    <w:rsid w:val="00175636"/>
    <w:rsid w:val="001815CE"/>
    <w:rsid w:val="00184224"/>
    <w:rsid w:val="00184C60"/>
    <w:rsid w:val="00190D2B"/>
    <w:rsid w:val="00192A64"/>
    <w:rsid w:val="001937B0"/>
    <w:rsid w:val="001A3DCB"/>
    <w:rsid w:val="001A79B2"/>
    <w:rsid w:val="001B0597"/>
    <w:rsid w:val="001B44FB"/>
    <w:rsid w:val="001B6C5D"/>
    <w:rsid w:val="001C03BE"/>
    <w:rsid w:val="001C17D1"/>
    <w:rsid w:val="001C3B6E"/>
    <w:rsid w:val="001C4EDD"/>
    <w:rsid w:val="001C638F"/>
    <w:rsid w:val="001C64EF"/>
    <w:rsid w:val="001D055B"/>
    <w:rsid w:val="001D5415"/>
    <w:rsid w:val="001D6E3D"/>
    <w:rsid w:val="001D718C"/>
    <w:rsid w:val="001E0905"/>
    <w:rsid w:val="001E18E4"/>
    <w:rsid w:val="001E23A7"/>
    <w:rsid w:val="001E752F"/>
    <w:rsid w:val="001E7FF2"/>
    <w:rsid w:val="001F4C71"/>
    <w:rsid w:val="00202BB4"/>
    <w:rsid w:val="00206B18"/>
    <w:rsid w:val="002107D4"/>
    <w:rsid w:val="00211DB4"/>
    <w:rsid w:val="00213F35"/>
    <w:rsid w:val="00215ABA"/>
    <w:rsid w:val="00216061"/>
    <w:rsid w:val="002218C1"/>
    <w:rsid w:val="00223E3E"/>
    <w:rsid w:val="00224356"/>
    <w:rsid w:val="00224850"/>
    <w:rsid w:val="002346AD"/>
    <w:rsid w:val="002414C2"/>
    <w:rsid w:val="00244BE9"/>
    <w:rsid w:val="00247847"/>
    <w:rsid w:val="00255719"/>
    <w:rsid w:val="0025671B"/>
    <w:rsid w:val="00257BDB"/>
    <w:rsid w:val="00260D50"/>
    <w:rsid w:val="002634B4"/>
    <w:rsid w:val="00270B9F"/>
    <w:rsid w:val="00273121"/>
    <w:rsid w:val="00274D92"/>
    <w:rsid w:val="00285546"/>
    <w:rsid w:val="00285EB5"/>
    <w:rsid w:val="002862AA"/>
    <w:rsid w:val="00286734"/>
    <w:rsid w:val="0028785D"/>
    <w:rsid w:val="00291182"/>
    <w:rsid w:val="00292F07"/>
    <w:rsid w:val="00292F21"/>
    <w:rsid w:val="002950E2"/>
    <w:rsid w:val="00297384"/>
    <w:rsid w:val="002A1919"/>
    <w:rsid w:val="002A1AEF"/>
    <w:rsid w:val="002A3296"/>
    <w:rsid w:val="002A41B2"/>
    <w:rsid w:val="002A49A2"/>
    <w:rsid w:val="002A60C7"/>
    <w:rsid w:val="002B00A0"/>
    <w:rsid w:val="002C008E"/>
    <w:rsid w:val="002C16E2"/>
    <w:rsid w:val="002C237F"/>
    <w:rsid w:val="002C321F"/>
    <w:rsid w:val="002C5F59"/>
    <w:rsid w:val="002C6D9D"/>
    <w:rsid w:val="002D1D87"/>
    <w:rsid w:val="002D23F1"/>
    <w:rsid w:val="002E38A0"/>
    <w:rsid w:val="002F056D"/>
    <w:rsid w:val="002F0B5E"/>
    <w:rsid w:val="002F0F3E"/>
    <w:rsid w:val="002F651F"/>
    <w:rsid w:val="003003DC"/>
    <w:rsid w:val="00303371"/>
    <w:rsid w:val="003040F4"/>
    <w:rsid w:val="00321B19"/>
    <w:rsid w:val="00324300"/>
    <w:rsid w:val="00324F1B"/>
    <w:rsid w:val="00335FBF"/>
    <w:rsid w:val="00337728"/>
    <w:rsid w:val="00340288"/>
    <w:rsid w:val="00342D7E"/>
    <w:rsid w:val="0034437D"/>
    <w:rsid w:val="0034666C"/>
    <w:rsid w:val="0034738F"/>
    <w:rsid w:val="003509ED"/>
    <w:rsid w:val="00350F5F"/>
    <w:rsid w:val="0035109B"/>
    <w:rsid w:val="00355834"/>
    <w:rsid w:val="00372DEB"/>
    <w:rsid w:val="00374623"/>
    <w:rsid w:val="0037509F"/>
    <w:rsid w:val="003800E2"/>
    <w:rsid w:val="003806EF"/>
    <w:rsid w:val="00380DD2"/>
    <w:rsid w:val="003814DE"/>
    <w:rsid w:val="0038181B"/>
    <w:rsid w:val="00382596"/>
    <w:rsid w:val="00383CEC"/>
    <w:rsid w:val="003878CE"/>
    <w:rsid w:val="00393660"/>
    <w:rsid w:val="003938B5"/>
    <w:rsid w:val="003A5AA5"/>
    <w:rsid w:val="003B2AF3"/>
    <w:rsid w:val="003B6381"/>
    <w:rsid w:val="003B7079"/>
    <w:rsid w:val="003C094B"/>
    <w:rsid w:val="003C77EC"/>
    <w:rsid w:val="003D5295"/>
    <w:rsid w:val="003D5400"/>
    <w:rsid w:val="003E1CED"/>
    <w:rsid w:val="003E55C2"/>
    <w:rsid w:val="003E6625"/>
    <w:rsid w:val="003F2478"/>
    <w:rsid w:val="003F2F47"/>
    <w:rsid w:val="003F5E97"/>
    <w:rsid w:val="0040071B"/>
    <w:rsid w:val="0040124B"/>
    <w:rsid w:val="0040225F"/>
    <w:rsid w:val="0040497E"/>
    <w:rsid w:val="00410EE6"/>
    <w:rsid w:val="004123F5"/>
    <w:rsid w:val="00414ADA"/>
    <w:rsid w:val="004259DB"/>
    <w:rsid w:val="00426D43"/>
    <w:rsid w:val="00426D46"/>
    <w:rsid w:val="00427DD6"/>
    <w:rsid w:val="00431084"/>
    <w:rsid w:val="004332F4"/>
    <w:rsid w:val="00435EEA"/>
    <w:rsid w:val="0043631D"/>
    <w:rsid w:val="00445040"/>
    <w:rsid w:val="00445746"/>
    <w:rsid w:val="00446BF3"/>
    <w:rsid w:val="00447582"/>
    <w:rsid w:val="004509C3"/>
    <w:rsid w:val="004566BC"/>
    <w:rsid w:val="004618E5"/>
    <w:rsid w:val="00471001"/>
    <w:rsid w:val="00472E55"/>
    <w:rsid w:val="00475242"/>
    <w:rsid w:val="00477380"/>
    <w:rsid w:val="00482F57"/>
    <w:rsid w:val="004879D9"/>
    <w:rsid w:val="00490550"/>
    <w:rsid w:val="004A0BC5"/>
    <w:rsid w:val="004A7712"/>
    <w:rsid w:val="004B06EC"/>
    <w:rsid w:val="004B371A"/>
    <w:rsid w:val="004B6686"/>
    <w:rsid w:val="004C0F5D"/>
    <w:rsid w:val="004C2B22"/>
    <w:rsid w:val="004C740D"/>
    <w:rsid w:val="004D291C"/>
    <w:rsid w:val="004D3424"/>
    <w:rsid w:val="004D3EB2"/>
    <w:rsid w:val="004D406B"/>
    <w:rsid w:val="004D47FF"/>
    <w:rsid w:val="004D69A2"/>
    <w:rsid w:val="004E1B6E"/>
    <w:rsid w:val="004F0211"/>
    <w:rsid w:val="004F5C2E"/>
    <w:rsid w:val="0050222D"/>
    <w:rsid w:val="0050525A"/>
    <w:rsid w:val="00505DDE"/>
    <w:rsid w:val="00512BF8"/>
    <w:rsid w:val="00516DF4"/>
    <w:rsid w:val="005178D8"/>
    <w:rsid w:val="00523CAA"/>
    <w:rsid w:val="0052690D"/>
    <w:rsid w:val="00527DB5"/>
    <w:rsid w:val="00532059"/>
    <w:rsid w:val="00543561"/>
    <w:rsid w:val="00543F93"/>
    <w:rsid w:val="00546C3A"/>
    <w:rsid w:val="00551731"/>
    <w:rsid w:val="00551C0B"/>
    <w:rsid w:val="00554EAC"/>
    <w:rsid w:val="00561F4A"/>
    <w:rsid w:val="00565197"/>
    <w:rsid w:val="00582ED7"/>
    <w:rsid w:val="005865BF"/>
    <w:rsid w:val="0059003F"/>
    <w:rsid w:val="0059094F"/>
    <w:rsid w:val="005946FD"/>
    <w:rsid w:val="00595E99"/>
    <w:rsid w:val="0059724D"/>
    <w:rsid w:val="005976A0"/>
    <w:rsid w:val="005A05CD"/>
    <w:rsid w:val="005A2FE4"/>
    <w:rsid w:val="005B34CE"/>
    <w:rsid w:val="005B55AF"/>
    <w:rsid w:val="005B6D1F"/>
    <w:rsid w:val="005B7F3A"/>
    <w:rsid w:val="005D545B"/>
    <w:rsid w:val="005D6B37"/>
    <w:rsid w:val="005D7227"/>
    <w:rsid w:val="005E04B4"/>
    <w:rsid w:val="005E09B2"/>
    <w:rsid w:val="005E195A"/>
    <w:rsid w:val="005E2426"/>
    <w:rsid w:val="005E31CF"/>
    <w:rsid w:val="005E63D3"/>
    <w:rsid w:val="005E67DB"/>
    <w:rsid w:val="005E79BB"/>
    <w:rsid w:val="005F0E99"/>
    <w:rsid w:val="005F33BA"/>
    <w:rsid w:val="005F74BA"/>
    <w:rsid w:val="006071F7"/>
    <w:rsid w:val="00611F56"/>
    <w:rsid w:val="006160AE"/>
    <w:rsid w:val="00621488"/>
    <w:rsid w:val="00621E3F"/>
    <w:rsid w:val="00624B6F"/>
    <w:rsid w:val="00625624"/>
    <w:rsid w:val="00626408"/>
    <w:rsid w:val="006328B5"/>
    <w:rsid w:val="00636382"/>
    <w:rsid w:val="00637199"/>
    <w:rsid w:val="00640ACE"/>
    <w:rsid w:val="0064119E"/>
    <w:rsid w:val="00641236"/>
    <w:rsid w:val="00641380"/>
    <w:rsid w:val="00646F54"/>
    <w:rsid w:val="006516CC"/>
    <w:rsid w:val="00651C60"/>
    <w:rsid w:val="00652EB7"/>
    <w:rsid w:val="00657C4E"/>
    <w:rsid w:val="0066516B"/>
    <w:rsid w:val="0066730E"/>
    <w:rsid w:val="0067419C"/>
    <w:rsid w:val="00674D46"/>
    <w:rsid w:val="0067554B"/>
    <w:rsid w:val="0067707D"/>
    <w:rsid w:val="00680B1B"/>
    <w:rsid w:val="0068446F"/>
    <w:rsid w:val="00687737"/>
    <w:rsid w:val="00687C6D"/>
    <w:rsid w:val="006926BE"/>
    <w:rsid w:val="00694EED"/>
    <w:rsid w:val="00695C0F"/>
    <w:rsid w:val="006A0B0D"/>
    <w:rsid w:val="006A3B2D"/>
    <w:rsid w:val="006B04E3"/>
    <w:rsid w:val="006B3F8D"/>
    <w:rsid w:val="006B74FC"/>
    <w:rsid w:val="006C234A"/>
    <w:rsid w:val="006D2EEA"/>
    <w:rsid w:val="006D341B"/>
    <w:rsid w:val="006E1179"/>
    <w:rsid w:val="006E1F48"/>
    <w:rsid w:val="006E4032"/>
    <w:rsid w:val="006E71BC"/>
    <w:rsid w:val="006F3929"/>
    <w:rsid w:val="00701291"/>
    <w:rsid w:val="00705291"/>
    <w:rsid w:val="00705B23"/>
    <w:rsid w:val="007076E7"/>
    <w:rsid w:val="00715B06"/>
    <w:rsid w:val="007170A6"/>
    <w:rsid w:val="00720817"/>
    <w:rsid w:val="007225A3"/>
    <w:rsid w:val="007236C3"/>
    <w:rsid w:val="00726FCA"/>
    <w:rsid w:val="007331EE"/>
    <w:rsid w:val="00741B70"/>
    <w:rsid w:val="007421EE"/>
    <w:rsid w:val="00744B91"/>
    <w:rsid w:val="00745B7E"/>
    <w:rsid w:val="00746ECB"/>
    <w:rsid w:val="00747885"/>
    <w:rsid w:val="0076250A"/>
    <w:rsid w:val="0076300F"/>
    <w:rsid w:val="00763AB5"/>
    <w:rsid w:val="007647D9"/>
    <w:rsid w:val="007660A7"/>
    <w:rsid w:val="0076748A"/>
    <w:rsid w:val="00770AC4"/>
    <w:rsid w:val="00792D15"/>
    <w:rsid w:val="00795BD7"/>
    <w:rsid w:val="007A01AE"/>
    <w:rsid w:val="007A2463"/>
    <w:rsid w:val="007A3717"/>
    <w:rsid w:val="007B2120"/>
    <w:rsid w:val="007B3380"/>
    <w:rsid w:val="007B483E"/>
    <w:rsid w:val="007C5C9C"/>
    <w:rsid w:val="007E215C"/>
    <w:rsid w:val="007E4736"/>
    <w:rsid w:val="007E7FAD"/>
    <w:rsid w:val="0080317A"/>
    <w:rsid w:val="00805B7F"/>
    <w:rsid w:val="008061BC"/>
    <w:rsid w:val="008079FE"/>
    <w:rsid w:val="008114E3"/>
    <w:rsid w:val="0082194F"/>
    <w:rsid w:val="0082743E"/>
    <w:rsid w:val="00830D5A"/>
    <w:rsid w:val="00834373"/>
    <w:rsid w:val="00835515"/>
    <w:rsid w:val="00835CF0"/>
    <w:rsid w:val="00836307"/>
    <w:rsid w:val="00836822"/>
    <w:rsid w:val="0084593E"/>
    <w:rsid w:val="0085165F"/>
    <w:rsid w:val="00856C15"/>
    <w:rsid w:val="0086095D"/>
    <w:rsid w:val="00861788"/>
    <w:rsid w:val="00862AF9"/>
    <w:rsid w:val="00865AFB"/>
    <w:rsid w:val="00866D81"/>
    <w:rsid w:val="00870BF1"/>
    <w:rsid w:val="0087725E"/>
    <w:rsid w:val="008828EB"/>
    <w:rsid w:val="008848F7"/>
    <w:rsid w:val="008978D3"/>
    <w:rsid w:val="008A4FDE"/>
    <w:rsid w:val="008A52AB"/>
    <w:rsid w:val="008B0087"/>
    <w:rsid w:val="008B33A8"/>
    <w:rsid w:val="008B52AE"/>
    <w:rsid w:val="008C2E4B"/>
    <w:rsid w:val="008D0B15"/>
    <w:rsid w:val="008D3998"/>
    <w:rsid w:val="008D46B8"/>
    <w:rsid w:val="008D7384"/>
    <w:rsid w:val="008E0417"/>
    <w:rsid w:val="008E37C1"/>
    <w:rsid w:val="008E7343"/>
    <w:rsid w:val="008E7CC3"/>
    <w:rsid w:val="008F1001"/>
    <w:rsid w:val="008F16D5"/>
    <w:rsid w:val="00900699"/>
    <w:rsid w:val="00903262"/>
    <w:rsid w:val="00903368"/>
    <w:rsid w:val="00905C7E"/>
    <w:rsid w:val="009063A8"/>
    <w:rsid w:val="0090749B"/>
    <w:rsid w:val="00907A37"/>
    <w:rsid w:val="00911016"/>
    <w:rsid w:val="009142EB"/>
    <w:rsid w:val="00920741"/>
    <w:rsid w:val="0092263E"/>
    <w:rsid w:val="00926FC2"/>
    <w:rsid w:val="00932773"/>
    <w:rsid w:val="00934212"/>
    <w:rsid w:val="00937122"/>
    <w:rsid w:val="00940BC5"/>
    <w:rsid w:val="009414BA"/>
    <w:rsid w:val="009417EF"/>
    <w:rsid w:val="00942936"/>
    <w:rsid w:val="0094504A"/>
    <w:rsid w:val="009477D0"/>
    <w:rsid w:val="009515A7"/>
    <w:rsid w:val="009578F1"/>
    <w:rsid w:val="009635F7"/>
    <w:rsid w:val="00966052"/>
    <w:rsid w:val="00966973"/>
    <w:rsid w:val="00977659"/>
    <w:rsid w:val="009779B4"/>
    <w:rsid w:val="009815BB"/>
    <w:rsid w:val="00981CD9"/>
    <w:rsid w:val="009832D2"/>
    <w:rsid w:val="00992A75"/>
    <w:rsid w:val="0099365F"/>
    <w:rsid w:val="00996BCD"/>
    <w:rsid w:val="0099781D"/>
    <w:rsid w:val="009A5E0F"/>
    <w:rsid w:val="009A64CA"/>
    <w:rsid w:val="009B3B33"/>
    <w:rsid w:val="009B40A1"/>
    <w:rsid w:val="009C1D0A"/>
    <w:rsid w:val="009C3255"/>
    <w:rsid w:val="009C32F2"/>
    <w:rsid w:val="009C58C7"/>
    <w:rsid w:val="009C7903"/>
    <w:rsid w:val="009D2CCC"/>
    <w:rsid w:val="009D4FCA"/>
    <w:rsid w:val="009D567D"/>
    <w:rsid w:val="009D7A23"/>
    <w:rsid w:val="009E25F8"/>
    <w:rsid w:val="009E34E8"/>
    <w:rsid w:val="009E4483"/>
    <w:rsid w:val="009E62ED"/>
    <w:rsid w:val="009F1D87"/>
    <w:rsid w:val="009F2EA0"/>
    <w:rsid w:val="009F498C"/>
    <w:rsid w:val="009F5304"/>
    <w:rsid w:val="009F60BB"/>
    <w:rsid w:val="00A022D9"/>
    <w:rsid w:val="00A070B7"/>
    <w:rsid w:val="00A21626"/>
    <w:rsid w:val="00A241A2"/>
    <w:rsid w:val="00A25D2F"/>
    <w:rsid w:val="00A26CC0"/>
    <w:rsid w:val="00A3031B"/>
    <w:rsid w:val="00A340A7"/>
    <w:rsid w:val="00A347E7"/>
    <w:rsid w:val="00A35059"/>
    <w:rsid w:val="00A42F74"/>
    <w:rsid w:val="00A42FF3"/>
    <w:rsid w:val="00A455D1"/>
    <w:rsid w:val="00A4583A"/>
    <w:rsid w:val="00A52FE0"/>
    <w:rsid w:val="00A5481F"/>
    <w:rsid w:val="00A560FA"/>
    <w:rsid w:val="00A568A6"/>
    <w:rsid w:val="00A605BB"/>
    <w:rsid w:val="00A62166"/>
    <w:rsid w:val="00A62C62"/>
    <w:rsid w:val="00A64477"/>
    <w:rsid w:val="00A700FC"/>
    <w:rsid w:val="00A702F0"/>
    <w:rsid w:val="00A72DED"/>
    <w:rsid w:val="00A763EC"/>
    <w:rsid w:val="00A827B8"/>
    <w:rsid w:val="00A8443E"/>
    <w:rsid w:val="00A86B41"/>
    <w:rsid w:val="00A87968"/>
    <w:rsid w:val="00A92485"/>
    <w:rsid w:val="00A92FB4"/>
    <w:rsid w:val="00AA0CFB"/>
    <w:rsid w:val="00AA784E"/>
    <w:rsid w:val="00AA7FBE"/>
    <w:rsid w:val="00AB00A2"/>
    <w:rsid w:val="00AB17AC"/>
    <w:rsid w:val="00AB4F5E"/>
    <w:rsid w:val="00AC2BBB"/>
    <w:rsid w:val="00AC41F4"/>
    <w:rsid w:val="00AC5113"/>
    <w:rsid w:val="00AD32AE"/>
    <w:rsid w:val="00AD503E"/>
    <w:rsid w:val="00AD6080"/>
    <w:rsid w:val="00AD63CB"/>
    <w:rsid w:val="00AD79A1"/>
    <w:rsid w:val="00AE1389"/>
    <w:rsid w:val="00AE465D"/>
    <w:rsid w:val="00AE6D29"/>
    <w:rsid w:val="00AF0686"/>
    <w:rsid w:val="00AF2A11"/>
    <w:rsid w:val="00AF7C13"/>
    <w:rsid w:val="00B01CAA"/>
    <w:rsid w:val="00B02543"/>
    <w:rsid w:val="00B062B6"/>
    <w:rsid w:val="00B104DF"/>
    <w:rsid w:val="00B110B2"/>
    <w:rsid w:val="00B14C29"/>
    <w:rsid w:val="00B15FFC"/>
    <w:rsid w:val="00B1757D"/>
    <w:rsid w:val="00B21BE3"/>
    <w:rsid w:val="00B277EE"/>
    <w:rsid w:val="00B3592D"/>
    <w:rsid w:val="00B3721D"/>
    <w:rsid w:val="00B37F94"/>
    <w:rsid w:val="00B47B47"/>
    <w:rsid w:val="00B533B5"/>
    <w:rsid w:val="00B5756E"/>
    <w:rsid w:val="00B60780"/>
    <w:rsid w:val="00B610F1"/>
    <w:rsid w:val="00B642A7"/>
    <w:rsid w:val="00B6598B"/>
    <w:rsid w:val="00B66EA1"/>
    <w:rsid w:val="00B67370"/>
    <w:rsid w:val="00B72726"/>
    <w:rsid w:val="00B74790"/>
    <w:rsid w:val="00B75805"/>
    <w:rsid w:val="00B76F99"/>
    <w:rsid w:val="00B828DA"/>
    <w:rsid w:val="00B91D90"/>
    <w:rsid w:val="00B91E6E"/>
    <w:rsid w:val="00B924BC"/>
    <w:rsid w:val="00B94A43"/>
    <w:rsid w:val="00BA5F3F"/>
    <w:rsid w:val="00BB2951"/>
    <w:rsid w:val="00BB45F8"/>
    <w:rsid w:val="00BB5487"/>
    <w:rsid w:val="00BC0A5B"/>
    <w:rsid w:val="00BC2258"/>
    <w:rsid w:val="00BC32A6"/>
    <w:rsid w:val="00BC34B7"/>
    <w:rsid w:val="00BC4444"/>
    <w:rsid w:val="00BC4A2A"/>
    <w:rsid w:val="00BD5800"/>
    <w:rsid w:val="00BD7869"/>
    <w:rsid w:val="00BE1135"/>
    <w:rsid w:val="00BE53A9"/>
    <w:rsid w:val="00BE7772"/>
    <w:rsid w:val="00BF4649"/>
    <w:rsid w:val="00C019C6"/>
    <w:rsid w:val="00C0259F"/>
    <w:rsid w:val="00C04C2E"/>
    <w:rsid w:val="00C05D6A"/>
    <w:rsid w:val="00C2164C"/>
    <w:rsid w:val="00C37500"/>
    <w:rsid w:val="00C465B7"/>
    <w:rsid w:val="00C4710F"/>
    <w:rsid w:val="00C536E9"/>
    <w:rsid w:val="00C60B90"/>
    <w:rsid w:val="00C62304"/>
    <w:rsid w:val="00C62C6A"/>
    <w:rsid w:val="00C64218"/>
    <w:rsid w:val="00C64C13"/>
    <w:rsid w:val="00C66E52"/>
    <w:rsid w:val="00C67218"/>
    <w:rsid w:val="00C72CEA"/>
    <w:rsid w:val="00C74752"/>
    <w:rsid w:val="00C80FE9"/>
    <w:rsid w:val="00C8679F"/>
    <w:rsid w:val="00C87A95"/>
    <w:rsid w:val="00C90B01"/>
    <w:rsid w:val="00C91FDE"/>
    <w:rsid w:val="00C930E7"/>
    <w:rsid w:val="00C9728D"/>
    <w:rsid w:val="00CA02A9"/>
    <w:rsid w:val="00CA7ED8"/>
    <w:rsid w:val="00CB7B7D"/>
    <w:rsid w:val="00CC2454"/>
    <w:rsid w:val="00CC2DC5"/>
    <w:rsid w:val="00CC3762"/>
    <w:rsid w:val="00CC4A06"/>
    <w:rsid w:val="00CD4EC8"/>
    <w:rsid w:val="00CD5E03"/>
    <w:rsid w:val="00CD6D7E"/>
    <w:rsid w:val="00CE1BA0"/>
    <w:rsid w:val="00CE24DE"/>
    <w:rsid w:val="00CF1E80"/>
    <w:rsid w:val="00CF510E"/>
    <w:rsid w:val="00CF5A8D"/>
    <w:rsid w:val="00CF5A97"/>
    <w:rsid w:val="00CF65CF"/>
    <w:rsid w:val="00D04051"/>
    <w:rsid w:val="00D04DF9"/>
    <w:rsid w:val="00D07C63"/>
    <w:rsid w:val="00D11B9B"/>
    <w:rsid w:val="00D22E82"/>
    <w:rsid w:val="00D24B2A"/>
    <w:rsid w:val="00D2746E"/>
    <w:rsid w:val="00D352C7"/>
    <w:rsid w:val="00D405B4"/>
    <w:rsid w:val="00D42C01"/>
    <w:rsid w:val="00D51B8A"/>
    <w:rsid w:val="00D520FB"/>
    <w:rsid w:val="00D549C9"/>
    <w:rsid w:val="00D56AEB"/>
    <w:rsid w:val="00D6480D"/>
    <w:rsid w:val="00D65F9A"/>
    <w:rsid w:val="00D705E1"/>
    <w:rsid w:val="00D70AED"/>
    <w:rsid w:val="00D72E6A"/>
    <w:rsid w:val="00D740D5"/>
    <w:rsid w:val="00D8049C"/>
    <w:rsid w:val="00D8182F"/>
    <w:rsid w:val="00D827A3"/>
    <w:rsid w:val="00D900C5"/>
    <w:rsid w:val="00D91701"/>
    <w:rsid w:val="00D918E0"/>
    <w:rsid w:val="00D921E3"/>
    <w:rsid w:val="00D93679"/>
    <w:rsid w:val="00D942F0"/>
    <w:rsid w:val="00D978E0"/>
    <w:rsid w:val="00D97D4E"/>
    <w:rsid w:val="00DA085C"/>
    <w:rsid w:val="00DA1F1D"/>
    <w:rsid w:val="00DA2906"/>
    <w:rsid w:val="00DB2A4A"/>
    <w:rsid w:val="00DC01A2"/>
    <w:rsid w:val="00DC0DD1"/>
    <w:rsid w:val="00DC18BF"/>
    <w:rsid w:val="00DC1D71"/>
    <w:rsid w:val="00DC2876"/>
    <w:rsid w:val="00DC2F8D"/>
    <w:rsid w:val="00DC63BE"/>
    <w:rsid w:val="00DC667C"/>
    <w:rsid w:val="00DC76C2"/>
    <w:rsid w:val="00DD3D29"/>
    <w:rsid w:val="00DD4DB8"/>
    <w:rsid w:val="00DD723C"/>
    <w:rsid w:val="00DE46F8"/>
    <w:rsid w:val="00DE6FBD"/>
    <w:rsid w:val="00DF10DB"/>
    <w:rsid w:val="00DF1AFE"/>
    <w:rsid w:val="00E056A3"/>
    <w:rsid w:val="00E0743E"/>
    <w:rsid w:val="00E07745"/>
    <w:rsid w:val="00E07F4B"/>
    <w:rsid w:val="00E1493A"/>
    <w:rsid w:val="00E16923"/>
    <w:rsid w:val="00E2064B"/>
    <w:rsid w:val="00E210F8"/>
    <w:rsid w:val="00E24017"/>
    <w:rsid w:val="00E25FA3"/>
    <w:rsid w:val="00E31158"/>
    <w:rsid w:val="00E32C29"/>
    <w:rsid w:val="00E35BC4"/>
    <w:rsid w:val="00E37EEB"/>
    <w:rsid w:val="00E401DF"/>
    <w:rsid w:val="00E42D48"/>
    <w:rsid w:val="00E4349C"/>
    <w:rsid w:val="00E43A5A"/>
    <w:rsid w:val="00E55321"/>
    <w:rsid w:val="00E60098"/>
    <w:rsid w:val="00E61E45"/>
    <w:rsid w:val="00E63CB5"/>
    <w:rsid w:val="00E640BA"/>
    <w:rsid w:val="00E649EA"/>
    <w:rsid w:val="00E70F9B"/>
    <w:rsid w:val="00E71096"/>
    <w:rsid w:val="00E7364D"/>
    <w:rsid w:val="00E7638E"/>
    <w:rsid w:val="00E7654C"/>
    <w:rsid w:val="00E8107A"/>
    <w:rsid w:val="00E84889"/>
    <w:rsid w:val="00E877FD"/>
    <w:rsid w:val="00E91A21"/>
    <w:rsid w:val="00E91ADF"/>
    <w:rsid w:val="00E928AF"/>
    <w:rsid w:val="00E93E7A"/>
    <w:rsid w:val="00E9634C"/>
    <w:rsid w:val="00EA2818"/>
    <w:rsid w:val="00EA3811"/>
    <w:rsid w:val="00EA39E3"/>
    <w:rsid w:val="00EB3AC1"/>
    <w:rsid w:val="00EC0053"/>
    <w:rsid w:val="00EC2E66"/>
    <w:rsid w:val="00EC7153"/>
    <w:rsid w:val="00EF09DB"/>
    <w:rsid w:val="00EF2887"/>
    <w:rsid w:val="00F02EAA"/>
    <w:rsid w:val="00F06260"/>
    <w:rsid w:val="00F06321"/>
    <w:rsid w:val="00F12014"/>
    <w:rsid w:val="00F14B75"/>
    <w:rsid w:val="00F160AB"/>
    <w:rsid w:val="00F161F4"/>
    <w:rsid w:val="00F16F23"/>
    <w:rsid w:val="00F20F8F"/>
    <w:rsid w:val="00F228EA"/>
    <w:rsid w:val="00F2375B"/>
    <w:rsid w:val="00F2689B"/>
    <w:rsid w:val="00F302D4"/>
    <w:rsid w:val="00F3059B"/>
    <w:rsid w:val="00F32AC3"/>
    <w:rsid w:val="00F37F62"/>
    <w:rsid w:val="00F44778"/>
    <w:rsid w:val="00F60E57"/>
    <w:rsid w:val="00F64AAB"/>
    <w:rsid w:val="00F67BC5"/>
    <w:rsid w:val="00F70BF3"/>
    <w:rsid w:val="00F7176C"/>
    <w:rsid w:val="00F7185B"/>
    <w:rsid w:val="00F75189"/>
    <w:rsid w:val="00F80611"/>
    <w:rsid w:val="00F84055"/>
    <w:rsid w:val="00F849D4"/>
    <w:rsid w:val="00F87643"/>
    <w:rsid w:val="00F87CC0"/>
    <w:rsid w:val="00F92EA9"/>
    <w:rsid w:val="00FA1DCA"/>
    <w:rsid w:val="00FA36C1"/>
    <w:rsid w:val="00FA3E3E"/>
    <w:rsid w:val="00FB0C08"/>
    <w:rsid w:val="00FB28E2"/>
    <w:rsid w:val="00FB4CC1"/>
    <w:rsid w:val="00FC3641"/>
    <w:rsid w:val="00FC5DE0"/>
    <w:rsid w:val="00FC6A10"/>
    <w:rsid w:val="00FD5A1F"/>
    <w:rsid w:val="00FD7DBF"/>
    <w:rsid w:val="00FE45E0"/>
    <w:rsid w:val="00FE7AA6"/>
    <w:rsid w:val="00FF2374"/>
    <w:rsid w:val="00FF3497"/>
    <w:rsid w:val="00FF5D1F"/>
    <w:rsid w:val="00FF6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FF9E0F"/>
  <w15:docId w15:val="{8E6873FB-499D-49CA-959C-3F1311CF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B0D"/>
    <w:pPr>
      <w:ind w:left="720"/>
      <w:contextualSpacing/>
    </w:pPr>
  </w:style>
  <w:style w:type="table" w:styleId="TableGrid">
    <w:name w:val="Table Grid"/>
    <w:basedOn w:val="TableNormal"/>
    <w:uiPriority w:val="39"/>
    <w:rsid w:val="00286734"/>
    <w:pPr>
      <w:spacing w:after="0" w:line="240" w:lineRule="auto"/>
    </w:pPr>
    <w:rPr>
      <w:sz w:val="24"/>
      <w:szCs w:val="24"/>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76E7"/>
    <w:rPr>
      <w:color w:val="0563C1" w:themeColor="hyperlink"/>
      <w:u w:val="single"/>
    </w:rPr>
  </w:style>
  <w:style w:type="character" w:styleId="CommentReference">
    <w:name w:val="annotation reference"/>
    <w:basedOn w:val="DefaultParagraphFont"/>
    <w:uiPriority w:val="99"/>
    <w:semiHidden/>
    <w:unhideWhenUsed/>
    <w:rsid w:val="001A79B2"/>
    <w:rPr>
      <w:sz w:val="18"/>
      <w:szCs w:val="18"/>
    </w:rPr>
  </w:style>
  <w:style w:type="paragraph" w:styleId="CommentText">
    <w:name w:val="annotation text"/>
    <w:basedOn w:val="Normal"/>
    <w:link w:val="CommentTextChar"/>
    <w:uiPriority w:val="99"/>
    <w:unhideWhenUsed/>
    <w:rsid w:val="001A79B2"/>
    <w:pPr>
      <w:spacing w:line="240" w:lineRule="auto"/>
    </w:pPr>
    <w:rPr>
      <w:sz w:val="24"/>
      <w:szCs w:val="24"/>
    </w:rPr>
  </w:style>
  <w:style w:type="character" w:customStyle="1" w:styleId="CommentTextChar">
    <w:name w:val="Comment Text Char"/>
    <w:basedOn w:val="DefaultParagraphFont"/>
    <w:link w:val="CommentText"/>
    <w:uiPriority w:val="99"/>
    <w:rsid w:val="001A79B2"/>
    <w:rPr>
      <w:sz w:val="24"/>
      <w:szCs w:val="24"/>
    </w:rPr>
  </w:style>
  <w:style w:type="paragraph" w:styleId="CommentSubject">
    <w:name w:val="annotation subject"/>
    <w:basedOn w:val="CommentText"/>
    <w:next w:val="CommentText"/>
    <w:link w:val="CommentSubjectChar"/>
    <w:uiPriority w:val="99"/>
    <w:semiHidden/>
    <w:unhideWhenUsed/>
    <w:rsid w:val="001A79B2"/>
    <w:rPr>
      <w:b/>
      <w:bCs/>
      <w:sz w:val="20"/>
      <w:szCs w:val="20"/>
    </w:rPr>
  </w:style>
  <w:style w:type="character" w:customStyle="1" w:styleId="CommentSubjectChar">
    <w:name w:val="Comment Subject Char"/>
    <w:basedOn w:val="CommentTextChar"/>
    <w:link w:val="CommentSubject"/>
    <w:uiPriority w:val="99"/>
    <w:semiHidden/>
    <w:rsid w:val="001A79B2"/>
    <w:rPr>
      <w:b/>
      <w:bCs/>
      <w:sz w:val="20"/>
      <w:szCs w:val="20"/>
    </w:rPr>
  </w:style>
  <w:style w:type="paragraph" w:styleId="BalloonText">
    <w:name w:val="Balloon Text"/>
    <w:basedOn w:val="Normal"/>
    <w:link w:val="BalloonTextChar"/>
    <w:uiPriority w:val="99"/>
    <w:semiHidden/>
    <w:unhideWhenUsed/>
    <w:rsid w:val="001A79B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79B2"/>
    <w:rPr>
      <w:rFonts w:ascii="Lucida Grande" w:hAnsi="Lucida Grande" w:cs="Lucida Grande"/>
      <w:sz w:val="18"/>
      <w:szCs w:val="18"/>
    </w:rPr>
  </w:style>
  <w:style w:type="paragraph" w:styleId="Revision">
    <w:name w:val="Revision"/>
    <w:hidden/>
    <w:uiPriority w:val="99"/>
    <w:semiHidden/>
    <w:rsid w:val="00595E99"/>
    <w:pPr>
      <w:spacing w:after="0" w:line="240" w:lineRule="auto"/>
    </w:pPr>
  </w:style>
  <w:style w:type="paragraph" w:styleId="FootnoteText">
    <w:name w:val="footnote text"/>
    <w:basedOn w:val="Normal"/>
    <w:link w:val="FootnoteTextChar"/>
    <w:uiPriority w:val="99"/>
    <w:unhideWhenUsed/>
    <w:rsid w:val="004D291C"/>
    <w:pPr>
      <w:spacing w:after="0" w:line="240" w:lineRule="auto"/>
    </w:pPr>
    <w:rPr>
      <w:sz w:val="24"/>
      <w:szCs w:val="24"/>
    </w:rPr>
  </w:style>
  <w:style w:type="character" w:customStyle="1" w:styleId="FootnoteTextChar">
    <w:name w:val="Footnote Text Char"/>
    <w:basedOn w:val="DefaultParagraphFont"/>
    <w:link w:val="FootnoteText"/>
    <w:uiPriority w:val="99"/>
    <w:rsid w:val="004D291C"/>
    <w:rPr>
      <w:sz w:val="24"/>
      <w:szCs w:val="24"/>
    </w:rPr>
  </w:style>
  <w:style w:type="character" w:styleId="FootnoteReference">
    <w:name w:val="footnote reference"/>
    <w:basedOn w:val="DefaultParagraphFont"/>
    <w:uiPriority w:val="99"/>
    <w:unhideWhenUsed/>
    <w:rsid w:val="004D291C"/>
    <w:rPr>
      <w:vertAlign w:val="superscript"/>
    </w:rPr>
  </w:style>
  <w:style w:type="paragraph" w:styleId="NormalWeb">
    <w:name w:val="Normal (Web)"/>
    <w:basedOn w:val="Normal"/>
    <w:uiPriority w:val="99"/>
    <w:unhideWhenUsed/>
    <w:rsid w:val="00001014"/>
    <w:pPr>
      <w:spacing w:before="100" w:beforeAutospacing="1" w:after="100" w:afterAutospacing="1" w:line="240" w:lineRule="auto"/>
    </w:pPr>
    <w:rPr>
      <w:rFonts w:ascii="Times" w:hAnsi="Times" w:cs="Times New Roman"/>
      <w:sz w:val="20"/>
      <w:szCs w:val="20"/>
      <w:lang w:val="en-GB"/>
    </w:rPr>
  </w:style>
  <w:style w:type="table" w:styleId="LightList-Accent5">
    <w:name w:val="Light List Accent 5"/>
    <w:basedOn w:val="TableNormal"/>
    <w:uiPriority w:val="61"/>
    <w:rsid w:val="003C094B"/>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character" w:styleId="FollowedHyperlink">
    <w:name w:val="FollowedHyperlink"/>
    <w:basedOn w:val="DefaultParagraphFont"/>
    <w:uiPriority w:val="99"/>
    <w:semiHidden/>
    <w:unhideWhenUsed/>
    <w:rsid w:val="008B52AE"/>
    <w:rPr>
      <w:color w:val="954F72" w:themeColor="followedHyperlink"/>
      <w:u w:val="single"/>
    </w:rPr>
  </w:style>
  <w:style w:type="character" w:customStyle="1" w:styleId="apple-converted-space">
    <w:name w:val="apple-converted-space"/>
    <w:basedOn w:val="DefaultParagraphFont"/>
    <w:rsid w:val="0043631D"/>
  </w:style>
  <w:style w:type="table" w:customStyle="1" w:styleId="TableGrid1">
    <w:name w:val="Table Grid1"/>
    <w:basedOn w:val="TableNormal"/>
    <w:next w:val="TableGrid"/>
    <w:uiPriority w:val="59"/>
    <w:rsid w:val="00A560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1135"/>
    <w:pPr>
      <w:tabs>
        <w:tab w:val="center" w:pos="4320"/>
        <w:tab w:val="right" w:pos="8640"/>
      </w:tabs>
      <w:spacing w:after="0" w:line="240" w:lineRule="auto"/>
    </w:pPr>
  </w:style>
  <w:style w:type="character" w:customStyle="1" w:styleId="HeaderChar">
    <w:name w:val="Header Char"/>
    <w:basedOn w:val="DefaultParagraphFont"/>
    <w:link w:val="Header"/>
    <w:uiPriority w:val="99"/>
    <w:rsid w:val="00BE1135"/>
  </w:style>
  <w:style w:type="paragraph" w:styleId="Footer">
    <w:name w:val="footer"/>
    <w:basedOn w:val="Normal"/>
    <w:link w:val="FooterChar"/>
    <w:uiPriority w:val="99"/>
    <w:unhideWhenUsed/>
    <w:rsid w:val="00BE113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E1135"/>
  </w:style>
  <w:style w:type="character" w:customStyle="1" w:styleId="UnresolvedMention1">
    <w:name w:val="Unresolved Mention1"/>
    <w:basedOn w:val="DefaultParagraphFont"/>
    <w:uiPriority w:val="99"/>
    <w:semiHidden/>
    <w:unhideWhenUsed/>
    <w:rsid w:val="003509ED"/>
    <w:rPr>
      <w:color w:val="605E5C"/>
      <w:shd w:val="clear" w:color="auto" w:fill="E1DFDD"/>
    </w:rPr>
  </w:style>
  <w:style w:type="character" w:styleId="UnresolvedMention">
    <w:name w:val="Unresolved Mention"/>
    <w:basedOn w:val="DefaultParagraphFont"/>
    <w:uiPriority w:val="99"/>
    <w:semiHidden/>
    <w:unhideWhenUsed/>
    <w:rsid w:val="00426D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0866">
      <w:bodyDiv w:val="1"/>
      <w:marLeft w:val="0"/>
      <w:marRight w:val="0"/>
      <w:marTop w:val="0"/>
      <w:marBottom w:val="0"/>
      <w:divBdr>
        <w:top w:val="none" w:sz="0" w:space="0" w:color="auto"/>
        <w:left w:val="none" w:sz="0" w:space="0" w:color="auto"/>
        <w:bottom w:val="none" w:sz="0" w:space="0" w:color="auto"/>
        <w:right w:val="none" w:sz="0" w:space="0" w:color="auto"/>
      </w:divBdr>
      <w:divsChild>
        <w:div w:id="1805149671">
          <w:marLeft w:val="547"/>
          <w:marRight w:val="0"/>
          <w:marTop w:val="106"/>
          <w:marBottom w:val="0"/>
          <w:divBdr>
            <w:top w:val="none" w:sz="0" w:space="0" w:color="auto"/>
            <w:left w:val="none" w:sz="0" w:space="0" w:color="auto"/>
            <w:bottom w:val="none" w:sz="0" w:space="0" w:color="auto"/>
            <w:right w:val="none" w:sz="0" w:space="0" w:color="auto"/>
          </w:divBdr>
        </w:div>
      </w:divsChild>
    </w:div>
    <w:div w:id="5257777">
      <w:bodyDiv w:val="1"/>
      <w:marLeft w:val="0"/>
      <w:marRight w:val="0"/>
      <w:marTop w:val="0"/>
      <w:marBottom w:val="0"/>
      <w:divBdr>
        <w:top w:val="none" w:sz="0" w:space="0" w:color="auto"/>
        <w:left w:val="none" w:sz="0" w:space="0" w:color="auto"/>
        <w:bottom w:val="none" w:sz="0" w:space="0" w:color="auto"/>
        <w:right w:val="none" w:sz="0" w:space="0" w:color="auto"/>
      </w:divBdr>
    </w:div>
    <w:div w:id="12418280">
      <w:bodyDiv w:val="1"/>
      <w:marLeft w:val="0"/>
      <w:marRight w:val="0"/>
      <w:marTop w:val="0"/>
      <w:marBottom w:val="0"/>
      <w:divBdr>
        <w:top w:val="none" w:sz="0" w:space="0" w:color="auto"/>
        <w:left w:val="none" w:sz="0" w:space="0" w:color="auto"/>
        <w:bottom w:val="none" w:sz="0" w:space="0" w:color="auto"/>
        <w:right w:val="none" w:sz="0" w:space="0" w:color="auto"/>
      </w:divBdr>
    </w:div>
    <w:div w:id="27418838">
      <w:bodyDiv w:val="1"/>
      <w:marLeft w:val="0"/>
      <w:marRight w:val="0"/>
      <w:marTop w:val="0"/>
      <w:marBottom w:val="0"/>
      <w:divBdr>
        <w:top w:val="none" w:sz="0" w:space="0" w:color="auto"/>
        <w:left w:val="none" w:sz="0" w:space="0" w:color="auto"/>
        <w:bottom w:val="none" w:sz="0" w:space="0" w:color="auto"/>
        <w:right w:val="none" w:sz="0" w:space="0" w:color="auto"/>
      </w:divBdr>
    </w:div>
    <w:div w:id="62341746">
      <w:bodyDiv w:val="1"/>
      <w:marLeft w:val="0"/>
      <w:marRight w:val="0"/>
      <w:marTop w:val="0"/>
      <w:marBottom w:val="0"/>
      <w:divBdr>
        <w:top w:val="none" w:sz="0" w:space="0" w:color="auto"/>
        <w:left w:val="none" w:sz="0" w:space="0" w:color="auto"/>
        <w:bottom w:val="none" w:sz="0" w:space="0" w:color="auto"/>
        <w:right w:val="none" w:sz="0" w:space="0" w:color="auto"/>
      </w:divBdr>
    </w:div>
    <w:div w:id="88238217">
      <w:bodyDiv w:val="1"/>
      <w:marLeft w:val="0"/>
      <w:marRight w:val="0"/>
      <w:marTop w:val="0"/>
      <w:marBottom w:val="0"/>
      <w:divBdr>
        <w:top w:val="none" w:sz="0" w:space="0" w:color="auto"/>
        <w:left w:val="none" w:sz="0" w:space="0" w:color="auto"/>
        <w:bottom w:val="none" w:sz="0" w:space="0" w:color="auto"/>
        <w:right w:val="none" w:sz="0" w:space="0" w:color="auto"/>
      </w:divBdr>
    </w:div>
    <w:div w:id="112751588">
      <w:bodyDiv w:val="1"/>
      <w:marLeft w:val="0"/>
      <w:marRight w:val="0"/>
      <w:marTop w:val="0"/>
      <w:marBottom w:val="0"/>
      <w:divBdr>
        <w:top w:val="none" w:sz="0" w:space="0" w:color="auto"/>
        <w:left w:val="none" w:sz="0" w:space="0" w:color="auto"/>
        <w:bottom w:val="none" w:sz="0" w:space="0" w:color="auto"/>
        <w:right w:val="none" w:sz="0" w:space="0" w:color="auto"/>
      </w:divBdr>
    </w:div>
    <w:div w:id="252052288">
      <w:bodyDiv w:val="1"/>
      <w:marLeft w:val="0"/>
      <w:marRight w:val="0"/>
      <w:marTop w:val="0"/>
      <w:marBottom w:val="0"/>
      <w:divBdr>
        <w:top w:val="none" w:sz="0" w:space="0" w:color="auto"/>
        <w:left w:val="none" w:sz="0" w:space="0" w:color="auto"/>
        <w:bottom w:val="none" w:sz="0" w:space="0" w:color="auto"/>
        <w:right w:val="none" w:sz="0" w:space="0" w:color="auto"/>
      </w:divBdr>
    </w:div>
    <w:div w:id="373769623">
      <w:bodyDiv w:val="1"/>
      <w:marLeft w:val="0"/>
      <w:marRight w:val="0"/>
      <w:marTop w:val="0"/>
      <w:marBottom w:val="0"/>
      <w:divBdr>
        <w:top w:val="none" w:sz="0" w:space="0" w:color="auto"/>
        <w:left w:val="none" w:sz="0" w:space="0" w:color="auto"/>
        <w:bottom w:val="none" w:sz="0" w:space="0" w:color="auto"/>
        <w:right w:val="none" w:sz="0" w:space="0" w:color="auto"/>
      </w:divBdr>
    </w:div>
    <w:div w:id="399984824">
      <w:bodyDiv w:val="1"/>
      <w:marLeft w:val="0"/>
      <w:marRight w:val="0"/>
      <w:marTop w:val="0"/>
      <w:marBottom w:val="0"/>
      <w:divBdr>
        <w:top w:val="none" w:sz="0" w:space="0" w:color="auto"/>
        <w:left w:val="none" w:sz="0" w:space="0" w:color="auto"/>
        <w:bottom w:val="none" w:sz="0" w:space="0" w:color="auto"/>
        <w:right w:val="none" w:sz="0" w:space="0" w:color="auto"/>
      </w:divBdr>
    </w:div>
    <w:div w:id="415443871">
      <w:bodyDiv w:val="1"/>
      <w:marLeft w:val="0"/>
      <w:marRight w:val="0"/>
      <w:marTop w:val="0"/>
      <w:marBottom w:val="0"/>
      <w:divBdr>
        <w:top w:val="none" w:sz="0" w:space="0" w:color="auto"/>
        <w:left w:val="none" w:sz="0" w:space="0" w:color="auto"/>
        <w:bottom w:val="none" w:sz="0" w:space="0" w:color="auto"/>
        <w:right w:val="none" w:sz="0" w:space="0" w:color="auto"/>
      </w:divBdr>
    </w:div>
    <w:div w:id="439448275">
      <w:bodyDiv w:val="1"/>
      <w:marLeft w:val="0"/>
      <w:marRight w:val="0"/>
      <w:marTop w:val="0"/>
      <w:marBottom w:val="0"/>
      <w:divBdr>
        <w:top w:val="none" w:sz="0" w:space="0" w:color="auto"/>
        <w:left w:val="none" w:sz="0" w:space="0" w:color="auto"/>
        <w:bottom w:val="none" w:sz="0" w:space="0" w:color="auto"/>
        <w:right w:val="none" w:sz="0" w:space="0" w:color="auto"/>
      </w:divBdr>
    </w:div>
    <w:div w:id="501048552">
      <w:bodyDiv w:val="1"/>
      <w:marLeft w:val="0"/>
      <w:marRight w:val="0"/>
      <w:marTop w:val="0"/>
      <w:marBottom w:val="0"/>
      <w:divBdr>
        <w:top w:val="none" w:sz="0" w:space="0" w:color="auto"/>
        <w:left w:val="none" w:sz="0" w:space="0" w:color="auto"/>
        <w:bottom w:val="none" w:sz="0" w:space="0" w:color="auto"/>
        <w:right w:val="none" w:sz="0" w:space="0" w:color="auto"/>
      </w:divBdr>
      <w:divsChild>
        <w:div w:id="1818959573">
          <w:marLeft w:val="547"/>
          <w:marRight w:val="0"/>
          <w:marTop w:val="86"/>
          <w:marBottom w:val="0"/>
          <w:divBdr>
            <w:top w:val="none" w:sz="0" w:space="0" w:color="auto"/>
            <w:left w:val="none" w:sz="0" w:space="0" w:color="auto"/>
            <w:bottom w:val="none" w:sz="0" w:space="0" w:color="auto"/>
            <w:right w:val="none" w:sz="0" w:space="0" w:color="auto"/>
          </w:divBdr>
        </w:div>
        <w:div w:id="924413163">
          <w:marLeft w:val="547"/>
          <w:marRight w:val="0"/>
          <w:marTop w:val="86"/>
          <w:marBottom w:val="0"/>
          <w:divBdr>
            <w:top w:val="none" w:sz="0" w:space="0" w:color="auto"/>
            <w:left w:val="none" w:sz="0" w:space="0" w:color="auto"/>
            <w:bottom w:val="none" w:sz="0" w:space="0" w:color="auto"/>
            <w:right w:val="none" w:sz="0" w:space="0" w:color="auto"/>
          </w:divBdr>
        </w:div>
        <w:div w:id="188496665">
          <w:marLeft w:val="547"/>
          <w:marRight w:val="0"/>
          <w:marTop w:val="86"/>
          <w:marBottom w:val="0"/>
          <w:divBdr>
            <w:top w:val="none" w:sz="0" w:space="0" w:color="auto"/>
            <w:left w:val="none" w:sz="0" w:space="0" w:color="auto"/>
            <w:bottom w:val="none" w:sz="0" w:space="0" w:color="auto"/>
            <w:right w:val="none" w:sz="0" w:space="0" w:color="auto"/>
          </w:divBdr>
        </w:div>
        <w:div w:id="524834095">
          <w:marLeft w:val="547"/>
          <w:marRight w:val="0"/>
          <w:marTop w:val="86"/>
          <w:marBottom w:val="0"/>
          <w:divBdr>
            <w:top w:val="none" w:sz="0" w:space="0" w:color="auto"/>
            <w:left w:val="none" w:sz="0" w:space="0" w:color="auto"/>
            <w:bottom w:val="none" w:sz="0" w:space="0" w:color="auto"/>
            <w:right w:val="none" w:sz="0" w:space="0" w:color="auto"/>
          </w:divBdr>
        </w:div>
        <w:div w:id="1659577164">
          <w:marLeft w:val="547"/>
          <w:marRight w:val="0"/>
          <w:marTop w:val="86"/>
          <w:marBottom w:val="0"/>
          <w:divBdr>
            <w:top w:val="none" w:sz="0" w:space="0" w:color="auto"/>
            <w:left w:val="none" w:sz="0" w:space="0" w:color="auto"/>
            <w:bottom w:val="none" w:sz="0" w:space="0" w:color="auto"/>
            <w:right w:val="none" w:sz="0" w:space="0" w:color="auto"/>
          </w:divBdr>
        </w:div>
      </w:divsChild>
    </w:div>
    <w:div w:id="566460161">
      <w:bodyDiv w:val="1"/>
      <w:marLeft w:val="0"/>
      <w:marRight w:val="0"/>
      <w:marTop w:val="0"/>
      <w:marBottom w:val="0"/>
      <w:divBdr>
        <w:top w:val="none" w:sz="0" w:space="0" w:color="auto"/>
        <w:left w:val="none" w:sz="0" w:space="0" w:color="auto"/>
        <w:bottom w:val="none" w:sz="0" w:space="0" w:color="auto"/>
        <w:right w:val="none" w:sz="0" w:space="0" w:color="auto"/>
      </w:divBdr>
    </w:div>
    <w:div w:id="586227047">
      <w:bodyDiv w:val="1"/>
      <w:marLeft w:val="0"/>
      <w:marRight w:val="0"/>
      <w:marTop w:val="0"/>
      <w:marBottom w:val="0"/>
      <w:divBdr>
        <w:top w:val="none" w:sz="0" w:space="0" w:color="auto"/>
        <w:left w:val="none" w:sz="0" w:space="0" w:color="auto"/>
        <w:bottom w:val="none" w:sz="0" w:space="0" w:color="auto"/>
        <w:right w:val="none" w:sz="0" w:space="0" w:color="auto"/>
      </w:divBdr>
      <w:divsChild>
        <w:div w:id="753279537">
          <w:marLeft w:val="806"/>
          <w:marRight w:val="0"/>
          <w:marTop w:val="96"/>
          <w:marBottom w:val="0"/>
          <w:divBdr>
            <w:top w:val="none" w:sz="0" w:space="0" w:color="auto"/>
            <w:left w:val="none" w:sz="0" w:space="0" w:color="auto"/>
            <w:bottom w:val="none" w:sz="0" w:space="0" w:color="auto"/>
            <w:right w:val="none" w:sz="0" w:space="0" w:color="auto"/>
          </w:divBdr>
        </w:div>
        <w:div w:id="2112357294">
          <w:marLeft w:val="547"/>
          <w:marRight w:val="0"/>
          <w:marTop w:val="86"/>
          <w:marBottom w:val="0"/>
          <w:divBdr>
            <w:top w:val="none" w:sz="0" w:space="0" w:color="auto"/>
            <w:left w:val="none" w:sz="0" w:space="0" w:color="auto"/>
            <w:bottom w:val="none" w:sz="0" w:space="0" w:color="auto"/>
            <w:right w:val="none" w:sz="0" w:space="0" w:color="auto"/>
          </w:divBdr>
        </w:div>
        <w:div w:id="872618771">
          <w:marLeft w:val="547"/>
          <w:marRight w:val="0"/>
          <w:marTop w:val="86"/>
          <w:marBottom w:val="0"/>
          <w:divBdr>
            <w:top w:val="none" w:sz="0" w:space="0" w:color="auto"/>
            <w:left w:val="none" w:sz="0" w:space="0" w:color="auto"/>
            <w:bottom w:val="none" w:sz="0" w:space="0" w:color="auto"/>
            <w:right w:val="none" w:sz="0" w:space="0" w:color="auto"/>
          </w:divBdr>
        </w:div>
        <w:div w:id="941109922">
          <w:marLeft w:val="547"/>
          <w:marRight w:val="0"/>
          <w:marTop w:val="86"/>
          <w:marBottom w:val="0"/>
          <w:divBdr>
            <w:top w:val="none" w:sz="0" w:space="0" w:color="auto"/>
            <w:left w:val="none" w:sz="0" w:space="0" w:color="auto"/>
            <w:bottom w:val="none" w:sz="0" w:space="0" w:color="auto"/>
            <w:right w:val="none" w:sz="0" w:space="0" w:color="auto"/>
          </w:divBdr>
        </w:div>
        <w:div w:id="3552969">
          <w:marLeft w:val="547"/>
          <w:marRight w:val="0"/>
          <w:marTop w:val="86"/>
          <w:marBottom w:val="0"/>
          <w:divBdr>
            <w:top w:val="none" w:sz="0" w:space="0" w:color="auto"/>
            <w:left w:val="none" w:sz="0" w:space="0" w:color="auto"/>
            <w:bottom w:val="none" w:sz="0" w:space="0" w:color="auto"/>
            <w:right w:val="none" w:sz="0" w:space="0" w:color="auto"/>
          </w:divBdr>
        </w:div>
        <w:div w:id="284426600">
          <w:marLeft w:val="547"/>
          <w:marRight w:val="0"/>
          <w:marTop w:val="86"/>
          <w:marBottom w:val="0"/>
          <w:divBdr>
            <w:top w:val="none" w:sz="0" w:space="0" w:color="auto"/>
            <w:left w:val="none" w:sz="0" w:space="0" w:color="auto"/>
            <w:bottom w:val="none" w:sz="0" w:space="0" w:color="auto"/>
            <w:right w:val="none" w:sz="0" w:space="0" w:color="auto"/>
          </w:divBdr>
        </w:div>
        <w:div w:id="2044862300">
          <w:marLeft w:val="547"/>
          <w:marRight w:val="0"/>
          <w:marTop w:val="86"/>
          <w:marBottom w:val="0"/>
          <w:divBdr>
            <w:top w:val="none" w:sz="0" w:space="0" w:color="auto"/>
            <w:left w:val="none" w:sz="0" w:space="0" w:color="auto"/>
            <w:bottom w:val="none" w:sz="0" w:space="0" w:color="auto"/>
            <w:right w:val="none" w:sz="0" w:space="0" w:color="auto"/>
          </w:divBdr>
        </w:div>
        <w:div w:id="345792654">
          <w:marLeft w:val="547"/>
          <w:marRight w:val="0"/>
          <w:marTop w:val="86"/>
          <w:marBottom w:val="0"/>
          <w:divBdr>
            <w:top w:val="none" w:sz="0" w:space="0" w:color="auto"/>
            <w:left w:val="none" w:sz="0" w:space="0" w:color="auto"/>
            <w:bottom w:val="none" w:sz="0" w:space="0" w:color="auto"/>
            <w:right w:val="none" w:sz="0" w:space="0" w:color="auto"/>
          </w:divBdr>
        </w:div>
        <w:div w:id="304939595">
          <w:marLeft w:val="547"/>
          <w:marRight w:val="0"/>
          <w:marTop w:val="86"/>
          <w:marBottom w:val="0"/>
          <w:divBdr>
            <w:top w:val="none" w:sz="0" w:space="0" w:color="auto"/>
            <w:left w:val="none" w:sz="0" w:space="0" w:color="auto"/>
            <w:bottom w:val="none" w:sz="0" w:space="0" w:color="auto"/>
            <w:right w:val="none" w:sz="0" w:space="0" w:color="auto"/>
          </w:divBdr>
        </w:div>
        <w:div w:id="464196715">
          <w:marLeft w:val="547"/>
          <w:marRight w:val="0"/>
          <w:marTop w:val="86"/>
          <w:marBottom w:val="0"/>
          <w:divBdr>
            <w:top w:val="none" w:sz="0" w:space="0" w:color="auto"/>
            <w:left w:val="none" w:sz="0" w:space="0" w:color="auto"/>
            <w:bottom w:val="none" w:sz="0" w:space="0" w:color="auto"/>
            <w:right w:val="none" w:sz="0" w:space="0" w:color="auto"/>
          </w:divBdr>
        </w:div>
        <w:div w:id="358362938">
          <w:marLeft w:val="547"/>
          <w:marRight w:val="0"/>
          <w:marTop w:val="86"/>
          <w:marBottom w:val="0"/>
          <w:divBdr>
            <w:top w:val="none" w:sz="0" w:space="0" w:color="auto"/>
            <w:left w:val="none" w:sz="0" w:space="0" w:color="auto"/>
            <w:bottom w:val="none" w:sz="0" w:space="0" w:color="auto"/>
            <w:right w:val="none" w:sz="0" w:space="0" w:color="auto"/>
          </w:divBdr>
        </w:div>
        <w:div w:id="1208104577">
          <w:marLeft w:val="547"/>
          <w:marRight w:val="0"/>
          <w:marTop w:val="86"/>
          <w:marBottom w:val="0"/>
          <w:divBdr>
            <w:top w:val="none" w:sz="0" w:space="0" w:color="auto"/>
            <w:left w:val="none" w:sz="0" w:space="0" w:color="auto"/>
            <w:bottom w:val="none" w:sz="0" w:space="0" w:color="auto"/>
            <w:right w:val="none" w:sz="0" w:space="0" w:color="auto"/>
          </w:divBdr>
        </w:div>
        <w:div w:id="130558650">
          <w:marLeft w:val="547"/>
          <w:marRight w:val="0"/>
          <w:marTop w:val="86"/>
          <w:marBottom w:val="0"/>
          <w:divBdr>
            <w:top w:val="none" w:sz="0" w:space="0" w:color="auto"/>
            <w:left w:val="none" w:sz="0" w:space="0" w:color="auto"/>
            <w:bottom w:val="none" w:sz="0" w:space="0" w:color="auto"/>
            <w:right w:val="none" w:sz="0" w:space="0" w:color="auto"/>
          </w:divBdr>
        </w:div>
        <w:div w:id="2001347214">
          <w:marLeft w:val="547"/>
          <w:marRight w:val="0"/>
          <w:marTop w:val="86"/>
          <w:marBottom w:val="0"/>
          <w:divBdr>
            <w:top w:val="none" w:sz="0" w:space="0" w:color="auto"/>
            <w:left w:val="none" w:sz="0" w:space="0" w:color="auto"/>
            <w:bottom w:val="none" w:sz="0" w:space="0" w:color="auto"/>
            <w:right w:val="none" w:sz="0" w:space="0" w:color="auto"/>
          </w:divBdr>
        </w:div>
      </w:divsChild>
    </w:div>
    <w:div w:id="626081438">
      <w:bodyDiv w:val="1"/>
      <w:marLeft w:val="0"/>
      <w:marRight w:val="0"/>
      <w:marTop w:val="0"/>
      <w:marBottom w:val="0"/>
      <w:divBdr>
        <w:top w:val="none" w:sz="0" w:space="0" w:color="auto"/>
        <w:left w:val="none" w:sz="0" w:space="0" w:color="auto"/>
        <w:bottom w:val="none" w:sz="0" w:space="0" w:color="auto"/>
        <w:right w:val="none" w:sz="0" w:space="0" w:color="auto"/>
      </w:divBdr>
    </w:div>
    <w:div w:id="679746360">
      <w:bodyDiv w:val="1"/>
      <w:marLeft w:val="0"/>
      <w:marRight w:val="0"/>
      <w:marTop w:val="0"/>
      <w:marBottom w:val="0"/>
      <w:divBdr>
        <w:top w:val="none" w:sz="0" w:space="0" w:color="auto"/>
        <w:left w:val="none" w:sz="0" w:space="0" w:color="auto"/>
        <w:bottom w:val="none" w:sz="0" w:space="0" w:color="auto"/>
        <w:right w:val="none" w:sz="0" w:space="0" w:color="auto"/>
      </w:divBdr>
    </w:div>
    <w:div w:id="683289081">
      <w:bodyDiv w:val="1"/>
      <w:marLeft w:val="0"/>
      <w:marRight w:val="0"/>
      <w:marTop w:val="0"/>
      <w:marBottom w:val="0"/>
      <w:divBdr>
        <w:top w:val="none" w:sz="0" w:space="0" w:color="auto"/>
        <w:left w:val="none" w:sz="0" w:space="0" w:color="auto"/>
        <w:bottom w:val="none" w:sz="0" w:space="0" w:color="auto"/>
        <w:right w:val="none" w:sz="0" w:space="0" w:color="auto"/>
      </w:divBdr>
    </w:div>
    <w:div w:id="718015930">
      <w:bodyDiv w:val="1"/>
      <w:marLeft w:val="0"/>
      <w:marRight w:val="0"/>
      <w:marTop w:val="0"/>
      <w:marBottom w:val="0"/>
      <w:divBdr>
        <w:top w:val="none" w:sz="0" w:space="0" w:color="auto"/>
        <w:left w:val="none" w:sz="0" w:space="0" w:color="auto"/>
        <w:bottom w:val="none" w:sz="0" w:space="0" w:color="auto"/>
        <w:right w:val="none" w:sz="0" w:space="0" w:color="auto"/>
      </w:divBdr>
    </w:div>
    <w:div w:id="739911681">
      <w:bodyDiv w:val="1"/>
      <w:marLeft w:val="0"/>
      <w:marRight w:val="0"/>
      <w:marTop w:val="0"/>
      <w:marBottom w:val="0"/>
      <w:divBdr>
        <w:top w:val="none" w:sz="0" w:space="0" w:color="auto"/>
        <w:left w:val="none" w:sz="0" w:space="0" w:color="auto"/>
        <w:bottom w:val="none" w:sz="0" w:space="0" w:color="auto"/>
        <w:right w:val="none" w:sz="0" w:space="0" w:color="auto"/>
      </w:divBdr>
    </w:div>
    <w:div w:id="794912219">
      <w:bodyDiv w:val="1"/>
      <w:marLeft w:val="0"/>
      <w:marRight w:val="0"/>
      <w:marTop w:val="0"/>
      <w:marBottom w:val="0"/>
      <w:divBdr>
        <w:top w:val="none" w:sz="0" w:space="0" w:color="auto"/>
        <w:left w:val="none" w:sz="0" w:space="0" w:color="auto"/>
        <w:bottom w:val="none" w:sz="0" w:space="0" w:color="auto"/>
        <w:right w:val="none" w:sz="0" w:space="0" w:color="auto"/>
      </w:divBdr>
      <w:divsChild>
        <w:div w:id="1650359169">
          <w:marLeft w:val="0"/>
          <w:marRight w:val="0"/>
          <w:marTop w:val="0"/>
          <w:marBottom w:val="0"/>
          <w:divBdr>
            <w:top w:val="none" w:sz="0" w:space="0" w:color="auto"/>
            <w:left w:val="none" w:sz="0" w:space="0" w:color="auto"/>
            <w:bottom w:val="none" w:sz="0" w:space="0" w:color="auto"/>
            <w:right w:val="none" w:sz="0" w:space="0" w:color="auto"/>
          </w:divBdr>
          <w:divsChild>
            <w:div w:id="771165007">
              <w:marLeft w:val="0"/>
              <w:marRight w:val="0"/>
              <w:marTop w:val="0"/>
              <w:marBottom w:val="0"/>
              <w:divBdr>
                <w:top w:val="none" w:sz="0" w:space="0" w:color="auto"/>
                <w:left w:val="none" w:sz="0" w:space="0" w:color="auto"/>
                <w:bottom w:val="none" w:sz="0" w:space="0" w:color="auto"/>
                <w:right w:val="none" w:sz="0" w:space="0" w:color="auto"/>
              </w:divBdr>
              <w:divsChild>
                <w:div w:id="71782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893808">
      <w:bodyDiv w:val="1"/>
      <w:marLeft w:val="0"/>
      <w:marRight w:val="0"/>
      <w:marTop w:val="0"/>
      <w:marBottom w:val="0"/>
      <w:divBdr>
        <w:top w:val="none" w:sz="0" w:space="0" w:color="auto"/>
        <w:left w:val="none" w:sz="0" w:space="0" w:color="auto"/>
        <w:bottom w:val="none" w:sz="0" w:space="0" w:color="auto"/>
        <w:right w:val="none" w:sz="0" w:space="0" w:color="auto"/>
      </w:divBdr>
    </w:div>
    <w:div w:id="817116187">
      <w:bodyDiv w:val="1"/>
      <w:marLeft w:val="0"/>
      <w:marRight w:val="0"/>
      <w:marTop w:val="0"/>
      <w:marBottom w:val="0"/>
      <w:divBdr>
        <w:top w:val="none" w:sz="0" w:space="0" w:color="auto"/>
        <w:left w:val="none" w:sz="0" w:space="0" w:color="auto"/>
        <w:bottom w:val="none" w:sz="0" w:space="0" w:color="auto"/>
        <w:right w:val="none" w:sz="0" w:space="0" w:color="auto"/>
      </w:divBdr>
    </w:div>
    <w:div w:id="865484963">
      <w:bodyDiv w:val="1"/>
      <w:marLeft w:val="0"/>
      <w:marRight w:val="0"/>
      <w:marTop w:val="0"/>
      <w:marBottom w:val="0"/>
      <w:divBdr>
        <w:top w:val="none" w:sz="0" w:space="0" w:color="auto"/>
        <w:left w:val="none" w:sz="0" w:space="0" w:color="auto"/>
        <w:bottom w:val="none" w:sz="0" w:space="0" w:color="auto"/>
        <w:right w:val="none" w:sz="0" w:space="0" w:color="auto"/>
      </w:divBdr>
      <w:divsChild>
        <w:div w:id="1546747589">
          <w:marLeft w:val="547"/>
          <w:marRight w:val="0"/>
          <w:marTop w:val="0"/>
          <w:marBottom w:val="0"/>
          <w:divBdr>
            <w:top w:val="none" w:sz="0" w:space="0" w:color="auto"/>
            <w:left w:val="none" w:sz="0" w:space="0" w:color="auto"/>
            <w:bottom w:val="none" w:sz="0" w:space="0" w:color="auto"/>
            <w:right w:val="none" w:sz="0" w:space="0" w:color="auto"/>
          </w:divBdr>
        </w:div>
        <w:div w:id="1429079345">
          <w:marLeft w:val="1166"/>
          <w:marRight w:val="0"/>
          <w:marTop w:val="0"/>
          <w:marBottom w:val="0"/>
          <w:divBdr>
            <w:top w:val="none" w:sz="0" w:space="0" w:color="auto"/>
            <w:left w:val="none" w:sz="0" w:space="0" w:color="auto"/>
            <w:bottom w:val="none" w:sz="0" w:space="0" w:color="auto"/>
            <w:right w:val="none" w:sz="0" w:space="0" w:color="auto"/>
          </w:divBdr>
        </w:div>
        <w:div w:id="1199784752">
          <w:marLeft w:val="1166"/>
          <w:marRight w:val="0"/>
          <w:marTop w:val="0"/>
          <w:marBottom w:val="0"/>
          <w:divBdr>
            <w:top w:val="none" w:sz="0" w:space="0" w:color="auto"/>
            <w:left w:val="none" w:sz="0" w:space="0" w:color="auto"/>
            <w:bottom w:val="none" w:sz="0" w:space="0" w:color="auto"/>
            <w:right w:val="none" w:sz="0" w:space="0" w:color="auto"/>
          </w:divBdr>
        </w:div>
      </w:divsChild>
    </w:div>
    <w:div w:id="877207599">
      <w:bodyDiv w:val="1"/>
      <w:marLeft w:val="0"/>
      <w:marRight w:val="0"/>
      <w:marTop w:val="0"/>
      <w:marBottom w:val="0"/>
      <w:divBdr>
        <w:top w:val="none" w:sz="0" w:space="0" w:color="auto"/>
        <w:left w:val="none" w:sz="0" w:space="0" w:color="auto"/>
        <w:bottom w:val="none" w:sz="0" w:space="0" w:color="auto"/>
        <w:right w:val="none" w:sz="0" w:space="0" w:color="auto"/>
      </w:divBdr>
    </w:div>
    <w:div w:id="948584064">
      <w:bodyDiv w:val="1"/>
      <w:marLeft w:val="0"/>
      <w:marRight w:val="0"/>
      <w:marTop w:val="0"/>
      <w:marBottom w:val="0"/>
      <w:divBdr>
        <w:top w:val="none" w:sz="0" w:space="0" w:color="auto"/>
        <w:left w:val="none" w:sz="0" w:space="0" w:color="auto"/>
        <w:bottom w:val="none" w:sz="0" w:space="0" w:color="auto"/>
        <w:right w:val="none" w:sz="0" w:space="0" w:color="auto"/>
      </w:divBdr>
      <w:divsChild>
        <w:div w:id="2006081218">
          <w:marLeft w:val="547"/>
          <w:marRight w:val="0"/>
          <w:marTop w:val="0"/>
          <w:marBottom w:val="0"/>
          <w:divBdr>
            <w:top w:val="none" w:sz="0" w:space="0" w:color="auto"/>
            <w:left w:val="none" w:sz="0" w:space="0" w:color="auto"/>
            <w:bottom w:val="none" w:sz="0" w:space="0" w:color="auto"/>
            <w:right w:val="none" w:sz="0" w:space="0" w:color="auto"/>
          </w:divBdr>
        </w:div>
        <w:div w:id="1624799804">
          <w:marLeft w:val="1166"/>
          <w:marRight w:val="0"/>
          <w:marTop w:val="0"/>
          <w:marBottom w:val="0"/>
          <w:divBdr>
            <w:top w:val="none" w:sz="0" w:space="0" w:color="auto"/>
            <w:left w:val="none" w:sz="0" w:space="0" w:color="auto"/>
            <w:bottom w:val="none" w:sz="0" w:space="0" w:color="auto"/>
            <w:right w:val="none" w:sz="0" w:space="0" w:color="auto"/>
          </w:divBdr>
        </w:div>
        <w:div w:id="2089115873">
          <w:marLeft w:val="1166"/>
          <w:marRight w:val="0"/>
          <w:marTop w:val="0"/>
          <w:marBottom w:val="0"/>
          <w:divBdr>
            <w:top w:val="none" w:sz="0" w:space="0" w:color="auto"/>
            <w:left w:val="none" w:sz="0" w:space="0" w:color="auto"/>
            <w:bottom w:val="none" w:sz="0" w:space="0" w:color="auto"/>
            <w:right w:val="none" w:sz="0" w:space="0" w:color="auto"/>
          </w:divBdr>
        </w:div>
      </w:divsChild>
    </w:div>
    <w:div w:id="985858860">
      <w:bodyDiv w:val="1"/>
      <w:marLeft w:val="0"/>
      <w:marRight w:val="0"/>
      <w:marTop w:val="0"/>
      <w:marBottom w:val="0"/>
      <w:divBdr>
        <w:top w:val="none" w:sz="0" w:space="0" w:color="auto"/>
        <w:left w:val="none" w:sz="0" w:space="0" w:color="auto"/>
        <w:bottom w:val="none" w:sz="0" w:space="0" w:color="auto"/>
        <w:right w:val="none" w:sz="0" w:space="0" w:color="auto"/>
      </w:divBdr>
    </w:div>
    <w:div w:id="992218781">
      <w:bodyDiv w:val="1"/>
      <w:marLeft w:val="0"/>
      <w:marRight w:val="0"/>
      <w:marTop w:val="0"/>
      <w:marBottom w:val="0"/>
      <w:divBdr>
        <w:top w:val="none" w:sz="0" w:space="0" w:color="auto"/>
        <w:left w:val="none" w:sz="0" w:space="0" w:color="auto"/>
        <w:bottom w:val="none" w:sz="0" w:space="0" w:color="auto"/>
        <w:right w:val="none" w:sz="0" w:space="0" w:color="auto"/>
      </w:divBdr>
    </w:div>
    <w:div w:id="1106853742">
      <w:bodyDiv w:val="1"/>
      <w:marLeft w:val="0"/>
      <w:marRight w:val="0"/>
      <w:marTop w:val="0"/>
      <w:marBottom w:val="0"/>
      <w:divBdr>
        <w:top w:val="none" w:sz="0" w:space="0" w:color="auto"/>
        <w:left w:val="none" w:sz="0" w:space="0" w:color="auto"/>
        <w:bottom w:val="none" w:sz="0" w:space="0" w:color="auto"/>
        <w:right w:val="none" w:sz="0" w:space="0" w:color="auto"/>
      </w:divBdr>
      <w:divsChild>
        <w:div w:id="1574781588">
          <w:marLeft w:val="0"/>
          <w:marRight w:val="0"/>
          <w:marTop w:val="0"/>
          <w:marBottom w:val="0"/>
          <w:divBdr>
            <w:top w:val="none" w:sz="0" w:space="0" w:color="auto"/>
            <w:left w:val="none" w:sz="0" w:space="0" w:color="auto"/>
            <w:bottom w:val="none" w:sz="0" w:space="0" w:color="auto"/>
            <w:right w:val="none" w:sz="0" w:space="0" w:color="auto"/>
          </w:divBdr>
          <w:divsChild>
            <w:div w:id="364448891">
              <w:marLeft w:val="0"/>
              <w:marRight w:val="0"/>
              <w:marTop w:val="0"/>
              <w:marBottom w:val="0"/>
              <w:divBdr>
                <w:top w:val="none" w:sz="0" w:space="0" w:color="auto"/>
                <w:left w:val="none" w:sz="0" w:space="0" w:color="auto"/>
                <w:bottom w:val="none" w:sz="0" w:space="0" w:color="auto"/>
                <w:right w:val="none" w:sz="0" w:space="0" w:color="auto"/>
              </w:divBdr>
              <w:divsChild>
                <w:div w:id="12560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630099">
      <w:bodyDiv w:val="1"/>
      <w:marLeft w:val="0"/>
      <w:marRight w:val="0"/>
      <w:marTop w:val="0"/>
      <w:marBottom w:val="0"/>
      <w:divBdr>
        <w:top w:val="none" w:sz="0" w:space="0" w:color="auto"/>
        <w:left w:val="none" w:sz="0" w:space="0" w:color="auto"/>
        <w:bottom w:val="none" w:sz="0" w:space="0" w:color="auto"/>
        <w:right w:val="none" w:sz="0" w:space="0" w:color="auto"/>
      </w:divBdr>
    </w:div>
    <w:div w:id="1196230160">
      <w:bodyDiv w:val="1"/>
      <w:marLeft w:val="0"/>
      <w:marRight w:val="0"/>
      <w:marTop w:val="0"/>
      <w:marBottom w:val="0"/>
      <w:divBdr>
        <w:top w:val="none" w:sz="0" w:space="0" w:color="auto"/>
        <w:left w:val="none" w:sz="0" w:space="0" w:color="auto"/>
        <w:bottom w:val="none" w:sz="0" w:space="0" w:color="auto"/>
        <w:right w:val="none" w:sz="0" w:space="0" w:color="auto"/>
      </w:divBdr>
      <w:divsChild>
        <w:div w:id="766198866">
          <w:marLeft w:val="547"/>
          <w:marRight w:val="0"/>
          <w:marTop w:val="96"/>
          <w:marBottom w:val="0"/>
          <w:divBdr>
            <w:top w:val="none" w:sz="0" w:space="0" w:color="auto"/>
            <w:left w:val="none" w:sz="0" w:space="0" w:color="auto"/>
            <w:bottom w:val="none" w:sz="0" w:space="0" w:color="auto"/>
            <w:right w:val="none" w:sz="0" w:space="0" w:color="auto"/>
          </w:divBdr>
        </w:div>
        <w:div w:id="462506735">
          <w:marLeft w:val="1166"/>
          <w:marRight w:val="0"/>
          <w:marTop w:val="86"/>
          <w:marBottom w:val="0"/>
          <w:divBdr>
            <w:top w:val="none" w:sz="0" w:space="0" w:color="auto"/>
            <w:left w:val="none" w:sz="0" w:space="0" w:color="auto"/>
            <w:bottom w:val="none" w:sz="0" w:space="0" w:color="auto"/>
            <w:right w:val="none" w:sz="0" w:space="0" w:color="auto"/>
          </w:divBdr>
        </w:div>
        <w:div w:id="952446082">
          <w:marLeft w:val="1166"/>
          <w:marRight w:val="0"/>
          <w:marTop w:val="86"/>
          <w:marBottom w:val="0"/>
          <w:divBdr>
            <w:top w:val="none" w:sz="0" w:space="0" w:color="auto"/>
            <w:left w:val="none" w:sz="0" w:space="0" w:color="auto"/>
            <w:bottom w:val="none" w:sz="0" w:space="0" w:color="auto"/>
            <w:right w:val="none" w:sz="0" w:space="0" w:color="auto"/>
          </w:divBdr>
        </w:div>
        <w:div w:id="964694048">
          <w:marLeft w:val="1166"/>
          <w:marRight w:val="0"/>
          <w:marTop w:val="86"/>
          <w:marBottom w:val="0"/>
          <w:divBdr>
            <w:top w:val="none" w:sz="0" w:space="0" w:color="auto"/>
            <w:left w:val="none" w:sz="0" w:space="0" w:color="auto"/>
            <w:bottom w:val="none" w:sz="0" w:space="0" w:color="auto"/>
            <w:right w:val="none" w:sz="0" w:space="0" w:color="auto"/>
          </w:divBdr>
        </w:div>
        <w:div w:id="1308634774">
          <w:marLeft w:val="547"/>
          <w:marRight w:val="0"/>
          <w:marTop w:val="96"/>
          <w:marBottom w:val="0"/>
          <w:divBdr>
            <w:top w:val="none" w:sz="0" w:space="0" w:color="auto"/>
            <w:left w:val="none" w:sz="0" w:space="0" w:color="auto"/>
            <w:bottom w:val="none" w:sz="0" w:space="0" w:color="auto"/>
            <w:right w:val="none" w:sz="0" w:space="0" w:color="auto"/>
          </w:divBdr>
        </w:div>
      </w:divsChild>
    </w:div>
    <w:div w:id="1293555661">
      <w:bodyDiv w:val="1"/>
      <w:marLeft w:val="0"/>
      <w:marRight w:val="0"/>
      <w:marTop w:val="0"/>
      <w:marBottom w:val="0"/>
      <w:divBdr>
        <w:top w:val="none" w:sz="0" w:space="0" w:color="auto"/>
        <w:left w:val="none" w:sz="0" w:space="0" w:color="auto"/>
        <w:bottom w:val="none" w:sz="0" w:space="0" w:color="auto"/>
        <w:right w:val="none" w:sz="0" w:space="0" w:color="auto"/>
      </w:divBdr>
    </w:div>
    <w:div w:id="1375277767">
      <w:bodyDiv w:val="1"/>
      <w:marLeft w:val="0"/>
      <w:marRight w:val="0"/>
      <w:marTop w:val="0"/>
      <w:marBottom w:val="0"/>
      <w:divBdr>
        <w:top w:val="none" w:sz="0" w:space="0" w:color="auto"/>
        <w:left w:val="none" w:sz="0" w:space="0" w:color="auto"/>
        <w:bottom w:val="none" w:sz="0" w:space="0" w:color="auto"/>
        <w:right w:val="none" w:sz="0" w:space="0" w:color="auto"/>
      </w:divBdr>
    </w:div>
    <w:div w:id="1417052041">
      <w:bodyDiv w:val="1"/>
      <w:marLeft w:val="0"/>
      <w:marRight w:val="0"/>
      <w:marTop w:val="0"/>
      <w:marBottom w:val="0"/>
      <w:divBdr>
        <w:top w:val="none" w:sz="0" w:space="0" w:color="auto"/>
        <w:left w:val="none" w:sz="0" w:space="0" w:color="auto"/>
        <w:bottom w:val="none" w:sz="0" w:space="0" w:color="auto"/>
        <w:right w:val="none" w:sz="0" w:space="0" w:color="auto"/>
      </w:divBdr>
      <w:divsChild>
        <w:div w:id="1806897797">
          <w:marLeft w:val="547"/>
          <w:marRight w:val="0"/>
          <w:marTop w:val="96"/>
          <w:marBottom w:val="0"/>
          <w:divBdr>
            <w:top w:val="none" w:sz="0" w:space="0" w:color="auto"/>
            <w:left w:val="none" w:sz="0" w:space="0" w:color="auto"/>
            <w:bottom w:val="none" w:sz="0" w:space="0" w:color="auto"/>
            <w:right w:val="none" w:sz="0" w:space="0" w:color="auto"/>
          </w:divBdr>
        </w:div>
        <w:div w:id="1422528939">
          <w:marLeft w:val="547"/>
          <w:marRight w:val="0"/>
          <w:marTop w:val="96"/>
          <w:marBottom w:val="0"/>
          <w:divBdr>
            <w:top w:val="none" w:sz="0" w:space="0" w:color="auto"/>
            <w:left w:val="none" w:sz="0" w:space="0" w:color="auto"/>
            <w:bottom w:val="none" w:sz="0" w:space="0" w:color="auto"/>
            <w:right w:val="none" w:sz="0" w:space="0" w:color="auto"/>
          </w:divBdr>
        </w:div>
        <w:div w:id="2084446393">
          <w:marLeft w:val="547"/>
          <w:marRight w:val="0"/>
          <w:marTop w:val="96"/>
          <w:marBottom w:val="0"/>
          <w:divBdr>
            <w:top w:val="none" w:sz="0" w:space="0" w:color="auto"/>
            <w:left w:val="none" w:sz="0" w:space="0" w:color="auto"/>
            <w:bottom w:val="none" w:sz="0" w:space="0" w:color="auto"/>
            <w:right w:val="none" w:sz="0" w:space="0" w:color="auto"/>
          </w:divBdr>
        </w:div>
        <w:div w:id="640380401">
          <w:marLeft w:val="547"/>
          <w:marRight w:val="0"/>
          <w:marTop w:val="96"/>
          <w:marBottom w:val="0"/>
          <w:divBdr>
            <w:top w:val="none" w:sz="0" w:space="0" w:color="auto"/>
            <w:left w:val="none" w:sz="0" w:space="0" w:color="auto"/>
            <w:bottom w:val="none" w:sz="0" w:space="0" w:color="auto"/>
            <w:right w:val="none" w:sz="0" w:space="0" w:color="auto"/>
          </w:divBdr>
        </w:div>
        <w:div w:id="946078922">
          <w:marLeft w:val="547"/>
          <w:marRight w:val="0"/>
          <w:marTop w:val="96"/>
          <w:marBottom w:val="0"/>
          <w:divBdr>
            <w:top w:val="none" w:sz="0" w:space="0" w:color="auto"/>
            <w:left w:val="none" w:sz="0" w:space="0" w:color="auto"/>
            <w:bottom w:val="none" w:sz="0" w:space="0" w:color="auto"/>
            <w:right w:val="none" w:sz="0" w:space="0" w:color="auto"/>
          </w:divBdr>
        </w:div>
        <w:div w:id="2123915133">
          <w:marLeft w:val="547"/>
          <w:marRight w:val="0"/>
          <w:marTop w:val="96"/>
          <w:marBottom w:val="0"/>
          <w:divBdr>
            <w:top w:val="none" w:sz="0" w:space="0" w:color="auto"/>
            <w:left w:val="none" w:sz="0" w:space="0" w:color="auto"/>
            <w:bottom w:val="none" w:sz="0" w:space="0" w:color="auto"/>
            <w:right w:val="none" w:sz="0" w:space="0" w:color="auto"/>
          </w:divBdr>
        </w:div>
      </w:divsChild>
    </w:div>
    <w:div w:id="1427262209">
      <w:bodyDiv w:val="1"/>
      <w:marLeft w:val="0"/>
      <w:marRight w:val="0"/>
      <w:marTop w:val="0"/>
      <w:marBottom w:val="0"/>
      <w:divBdr>
        <w:top w:val="none" w:sz="0" w:space="0" w:color="auto"/>
        <w:left w:val="none" w:sz="0" w:space="0" w:color="auto"/>
        <w:bottom w:val="none" w:sz="0" w:space="0" w:color="auto"/>
        <w:right w:val="none" w:sz="0" w:space="0" w:color="auto"/>
      </w:divBdr>
    </w:div>
    <w:div w:id="1453010801">
      <w:bodyDiv w:val="1"/>
      <w:marLeft w:val="0"/>
      <w:marRight w:val="0"/>
      <w:marTop w:val="0"/>
      <w:marBottom w:val="0"/>
      <w:divBdr>
        <w:top w:val="none" w:sz="0" w:space="0" w:color="auto"/>
        <w:left w:val="none" w:sz="0" w:space="0" w:color="auto"/>
        <w:bottom w:val="none" w:sz="0" w:space="0" w:color="auto"/>
        <w:right w:val="none" w:sz="0" w:space="0" w:color="auto"/>
      </w:divBdr>
    </w:div>
    <w:div w:id="1467118900">
      <w:bodyDiv w:val="1"/>
      <w:marLeft w:val="0"/>
      <w:marRight w:val="0"/>
      <w:marTop w:val="0"/>
      <w:marBottom w:val="0"/>
      <w:divBdr>
        <w:top w:val="none" w:sz="0" w:space="0" w:color="auto"/>
        <w:left w:val="none" w:sz="0" w:space="0" w:color="auto"/>
        <w:bottom w:val="none" w:sz="0" w:space="0" w:color="auto"/>
        <w:right w:val="none" w:sz="0" w:space="0" w:color="auto"/>
      </w:divBdr>
    </w:div>
    <w:div w:id="1468888558">
      <w:bodyDiv w:val="1"/>
      <w:marLeft w:val="0"/>
      <w:marRight w:val="0"/>
      <w:marTop w:val="0"/>
      <w:marBottom w:val="0"/>
      <w:divBdr>
        <w:top w:val="none" w:sz="0" w:space="0" w:color="auto"/>
        <w:left w:val="none" w:sz="0" w:space="0" w:color="auto"/>
        <w:bottom w:val="none" w:sz="0" w:space="0" w:color="auto"/>
        <w:right w:val="none" w:sz="0" w:space="0" w:color="auto"/>
      </w:divBdr>
    </w:div>
    <w:div w:id="1535388038">
      <w:bodyDiv w:val="1"/>
      <w:marLeft w:val="0"/>
      <w:marRight w:val="0"/>
      <w:marTop w:val="0"/>
      <w:marBottom w:val="0"/>
      <w:divBdr>
        <w:top w:val="none" w:sz="0" w:space="0" w:color="auto"/>
        <w:left w:val="none" w:sz="0" w:space="0" w:color="auto"/>
        <w:bottom w:val="none" w:sz="0" w:space="0" w:color="auto"/>
        <w:right w:val="none" w:sz="0" w:space="0" w:color="auto"/>
      </w:divBdr>
    </w:div>
    <w:div w:id="1584215044">
      <w:bodyDiv w:val="1"/>
      <w:marLeft w:val="0"/>
      <w:marRight w:val="0"/>
      <w:marTop w:val="0"/>
      <w:marBottom w:val="0"/>
      <w:divBdr>
        <w:top w:val="none" w:sz="0" w:space="0" w:color="auto"/>
        <w:left w:val="none" w:sz="0" w:space="0" w:color="auto"/>
        <w:bottom w:val="none" w:sz="0" w:space="0" w:color="auto"/>
        <w:right w:val="none" w:sz="0" w:space="0" w:color="auto"/>
      </w:divBdr>
      <w:divsChild>
        <w:div w:id="427777408">
          <w:marLeft w:val="547"/>
          <w:marRight w:val="0"/>
          <w:marTop w:val="96"/>
          <w:marBottom w:val="0"/>
          <w:divBdr>
            <w:top w:val="none" w:sz="0" w:space="0" w:color="auto"/>
            <w:left w:val="none" w:sz="0" w:space="0" w:color="auto"/>
            <w:bottom w:val="none" w:sz="0" w:space="0" w:color="auto"/>
            <w:right w:val="none" w:sz="0" w:space="0" w:color="auto"/>
          </w:divBdr>
        </w:div>
        <w:div w:id="645861445">
          <w:marLeft w:val="1166"/>
          <w:marRight w:val="0"/>
          <w:marTop w:val="86"/>
          <w:marBottom w:val="0"/>
          <w:divBdr>
            <w:top w:val="none" w:sz="0" w:space="0" w:color="auto"/>
            <w:left w:val="none" w:sz="0" w:space="0" w:color="auto"/>
            <w:bottom w:val="none" w:sz="0" w:space="0" w:color="auto"/>
            <w:right w:val="none" w:sz="0" w:space="0" w:color="auto"/>
          </w:divBdr>
        </w:div>
        <w:div w:id="1128206296">
          <w:marLeft w:val="1166"/>
          <w:marRight w:val="0"/>
          <w:marTop w:val="86"/>
          <w:marBottom w:val="0"/>
          <w:divBdr>
            <w:top w:val="none" w:sz="0" w:space="0" w:color="auto"/>
            <w:left w:val="none" w:sz="0" w:space="0" w:color="auto"/>
            <w:bottom w:val="none" w:sz="0" w:space="0" w:color="auto"/>
            <w:right w:val="none" w:sz="0" w:space="0" w:color="auto"/>
          </w:divBdr>
        </w:div>
        <w:div w:id="1138570235">
          <w:marLeft w:val="1166"/>
          <w:marRight w:val="0"/>
          <w:marTop w:val="86"/>
          <w:marBottom w:val="0"/>
          <w:divBdr>
            <w:top w:val="none" w:sz="0" w:space="0" w:color="auto"/>
            <w:left w:val="none" w:sz="0" w:space="0" w:color="auto"/>
            <w:bottom w:val="none" w:sz="0" w:space="0" w:color="auto"/>
            <w:right w:val="none" w:sz="0" w:space="0" w:color="auto"/>
          </w:divBdr>
        </w:div>
        <w:div w:id="906766265">
          <w:marLeft w:val="1166"/>
          <w:marRight w:val="0"/>
          <w:marTop w:val="86"/>
          <w:marBottom w:val="0"/>
          <w:divBdr>
            <w:top w:val="none" w:sz="0" w:space="0" w:color="auto"/>
            <w:left w:val="none" w:sz="0" w:space="0" w:color="auto"/>
            <w:bottom w:val="none" w:sz="0" w:space="0" w:color="auto"/>
            <w:right w:val="none" w:sz="0" w:space="0" w:color="auto"/>
          </w:divBdr>
        </w:div>
        <w:div w:id="586886427">
          <w:marLeft w:val="1166"/>
          <w:marRight w:val="0"/>
          <w:marTop w:val="86"/>
          <w:marBottom w:val="0"/>
          <w:divBdr>
            <w:top w:val="none" w:sz="0" w:space="0" w:color="auto"/>
            <w:left w:val="none" w:sz="0" w:space="0" w:color="auto"/>
            <w:bottom w:val="none" w:sz="0" w:space="0" w:color="auto"/>
            <w:right w:val="none" w:sz="0" w:space="0" w:color="auto"/>
          </w:divBdr>
        </w:div>
        <w:div w:id="934048609">
          <w:marLeft w:val="1166"/>
          <w:marRight w:val="0"/>
          <w:marTop w:val="86"/>
          <w:marBottom w:val="0"/>
          <w:divBdr>
            <w:top w:val="none" w:sz="0" w:space="0" w:color="auto"/>
            <w:left w:val="none" w:sz="0" w:space="0" w:color="auto"/>
            <w:bottom w:val="none" w:sz="0" w:space="0" w:color="auto"/>
            <w:right w:val="none" w:sz="0" w:space="0" w:color="auto"/>
          </w:divBdr>
        </w:div>
        <w:div w:id="933438749">
          <w:marLeft w:val="1166"/>
          <w:marRight w:val="0"/>
          <w:marTop w:val="86"/>
          <w:marBottom w:val="0"/>
          <w:divBdr>
            <w:top w:val="none" w:sz="0" w:space="0" w:color="auto"/>
            <w:left w:val="none" w:sz="0" w:space="0" w:color="auto"/>
            <w:bottom w:val="none" w:sz="0" w:space="0" w:color="auto"/>
            <w:right w:val="none" w:sz="0" w:space="0" w:color="auto"/>
          </w:divBdr>
        </w:div>
      </w:divsChild>
    </w:div>
    <w:div w:id="1601569848">
      <w:bodyDiv w:val="1"/>
      <w:marLeft w:val="0"/>
      <w:marRight w:val="0"/>
      <w:marTop w:val="0"/>
      <w:marBottom w:val="0"/>
      <w:divBdr>
        <w:top w:val="none" w:sz="0" w:space="0" w:color="auto"/>
        <w:left w:val="none" w:sz="0" w:space="0" w:color="auto"/>
        <w:bottom w:val="none" w:sz="0" w:space="0" w:color="auto"/>
        <w:right w:val="none" w:sz="0" w:space="0" w:color="auto"/>
      </w:divBdr>
    </w:div>
    <w:div w:id="1613315836">
      <w:bodyDiv w:val="1"/>
      <w:marLeft w:val="0"/>
      <w:marRight w:val="0"/>
      <w:marTop w:val="0"/>
      <w:marBottom w:val="0"/>
      <w:divBdr>
        <w:top w:val="none" w:sz="0" w:space="0" w:color="auto"/>
        <w:left w:val="none" w:sz="0" w:space="0" w:color="auto"/>
        <w:bottom w:val="none" w:sz="0" w:space="0" w:color="auto"/>
        <w:right w:val="none" w:sz="0" w:space="0" w:color="auto"/>
      </w:divBdr>
    </w:div>
    <w:div w:id="1622959333">
      <w:bodyDiv w:val="1"/>
      <w:marLeft w:val="0"/>
      <w:marRight w:val="0"/>
      <w:marTop w:val="0"/>
      <w:marBottom w:val="0"/>
      <w:divBdr>
        <w:top w:val="none" w:sz="0" w:space="0" w:color="auto"/>
        <w:left w:val="none" w:sz="0" w:space="0" w:color="auto"/>
        <w:bottom w:val="none" w:sz="0" w:space="0" w:color="auto"/>
        <w:right w:val="none" w:sz="0" w:space="0" w:color="auto"/>
      </w:divBdr>
      <w:divsChild>
        <w:div w:id="1309362133">
          <w:marLeft w:val="547"/>
          <w:marRight w:val="0"/>
          <w:marTop w:val="0"/>
          <w:marBottom w:val="0"/>
          <w:divBdr>
            <w:top w:val="none" w:sz="0" w:space="0" w:color="auto"/>
            <w:left w:val="none" w:sz="0" w:space="0" w:color="auto"/>
            <w:bottom w:val="none" w:sz="0" w:space="0" w:color="auto"/>
            <w:right w:val="none" w:sz="0" w:space="0" w:color="auto"/>
          </w:divBdr>
        </w:div>
        <w:div w:id="349113676">
          <w:marLeft w:val="1166"/>
          <w:marRight w:val="0"/>
          <w:marTop w:val="0"/>
          <w:marBottom w:val="0"/>
          <w:divBdr>
            <w:top w:val="none" w:sz="0" w:space="0" w:color="auto"/>
            <w:left w:val="none" w:sz="0" w:space="0" w:color="auto"/>
            <w:bottom w:val="none" w:sz="0" w:space="0" w:color="auto"/>
            <w:right w:val="none" w:sz="0" w:space="0" w:color="auto"/>
          </w:divBdr>
        </w:div>
        <w:div w:id="1216501505">
          <w:marLeft w:val="1166"/>
          <w:marRight w:val="0"/>
          <w:marTop w:val="0"/>
          <w:marBottom w:val="0"/>
          <w:divBdr>
            <w:top w:val="none" w:sz="0" w:space="0" w:color="auto"/>
            <w:left w:val="none" w:sz="0" w:space="0" w:color="auto"/>
            <w:bottom w:val="none" w:sz="0" w:space="0" w:color="auto"/>
            <w:right w:val="none" w:sz="0" w:space="0" w:color="auto"/>
          </w:divBdr>
        </w:div>
        <w:div w:id="1145505765">
          <w:marLeft w:val="1166"/>
          <w:marRight w:val="0"/>
          <w:marTop w:val="0"/>
          <w:marBottom w:val="0"/>
          <w:divBdr>
            <w:top w:val="none" w:sz="0" w:space="0" w:color="auto"/>
            <w:left w:val="none" w:sz="0" w:space="0" w:color="auto"/>
            <w:bottom w:val="none" w:sz="0" w:space="0" w:color="auto"/>
            <w:right w:val="none" w:sz="0" w:space="0" w:color="auto"/>
          </w:divBdr>
        </w:div>
        <w:div w:id="850217241">
          <w:marLeft w:val="1166"/>
          <w:marRight w:val="0"/>
          <w:marTop w:val="0"/>
          <w:marBottom w:val="0"/>
          <w:divBdr>
            <w:top w:val="none" w:sz="0" w:space="0" w:color="auto"/>
            <w:left w:val="none" w:sz="0" w:space="0" w:color="auto"/>
            <w:bottom w:val="none" w:sz="0" w:space="0" w:color="auto"/>
            <w:right w:val="none" w:sz="0" w:space="0" w:color="auto"/>
          </w:divBdr>
        </w:div>
      </w:divsChild>
    </w:div>
    <w:div w:id="1645499652">
      <w:bodyDiv w:val="1"/>
      <w:marLeft w:val="0"/>
      <w:marRight w:val="0"/>
      <w:marTop w:val="0"/>
      <w:marBottom w:val="0"/>
      <w:divBdr>
        <w:top w:val="none" w:sz="0" w:space="0" w:color="auto"/>
        <w:left w:val="none" w:sz="0" w:space="0" w:color="auto"/>
        <w:bottom w:val="none" w:sz="0" w:space="0" w:color="auto"/>
        <w:right w:val="none" w:sz="0" w:space="0" w:color="auto"/>
      </w:divBdr>
    </w:div>
    <w:div w:id="1738286067">
      <w:bodyDiv w:val="1"/>
      <w:marLeft w:val="0"/>
      <w:marRight w:val="0"/>
      <w:marTop w:val="0"/>
      <w:marBottom w:val="0"/>
      <w:divBdr>
        <w:top w:val="none" w:sz="0" w:space="0" w:color="auto"/>
        <w:left w:val="none" w:sz="0" w:space="0" w:color="auto"/>
        <w:bottom w:val="none" w:sz="0" w:space="0" w:color="auto"/>
        <w:right w:val="none" w:sz="0" w:space="0" w:color="auto"/>
      </w:divBdr>
    </w:div>
    <w:div w:id="1799376417">
      <w:bodyDiv w:val="1"/>
      <w:marLeft w:val="0"/>
      <w:marRight w:val="0"/>
      <w:marTop w:val="0"/>
      <w:marBottom w:val="0"/>
      <w:divBdr>
        <w:top w:val="none" w:sz="0" w:space="0" w:color="auto"/>
        <w:left w:val="none" w:sz="0" w:space="0" w:color="auto"/>
        <w:bottom w:val="none" w:sz="0" w:space="0" w:color="auto"/>
        <w:right w:val="none" w:sz="0" w:space="0" w:color="auto"/>
      </w:divBdr>
    </w:div>
    <w:div w:id="1816532632">
      <w:bodyDiv w:val="1"/>
      <w:marLeft w:val="0"/>
      <w:marRight w:val="0"/>
      <w:marTop w:val="0"/>
      <w:marBottom w:val="0"/>
      <w:divBdr>
        <w:top w:val="none" w:sz="0" w:space="0" w:color="auto"/>
        <w:left w:val="none" w:sz="0" w:space="0" w:color="auto"/>
        <w:bottom w:val="none" w:sz="0" w:space="0" w:color="auto"/>
        <w:right w:val="none" w:sz="0" w:space="0" w:color="auto"/>
      </w:divBdr>
    </w:div>
    <w:div w:id="1864126083">
      <w:bodyDiv w:val="1"/>
      <w:marLeft w:val="0"/>
      <w:marRight w:val="0"/>
      <w:marTop w:val="0"/>
      <w:marBottom w:val="0"/>
      <w:divBdr>
        <w:top w:val="none" w:sz="0" w:space="0" w:color="auto"/>
        <w:left w:val="none" w:sz="0" w:space="0" w:color="auto"/>
        <w:bottom w:val="none" w:sz="0" w:space="0" w:color="auto"/>
        <w:right w:val="none" w:sz="0" w:space="0" w:color="auto"/>
      </w:divBdr>
    </w:div>
    <w:div w:id="1927836005">
      <w:bodyDiv w:val="1"/>
      <w:marLeft w:val="0"/>
      <w:marRight w:val="0"/>
      <w:marTop w:val="0"/>
      <w:marBottom w:val="0"/>
      <w:divBdr>
        <w:top w:val="none" w:sz="0" w:space="0" w:color="auto"/>
        <w:left w:val="none" w:sz="0" w:space="0" w:color="auto"/>
        <w:bottom w:val="none" w:sz="0" w:space="0" w:color="auto"/>
        <w:right w:val="none" w:sz="0" w:space="0" w:color="auto"/>
      </w:divBdr>
    </w:div>
    <w:div w:id="1972856201">
      <w:bodyDiv w:val="1"/>
      <w:marLeft w:val="0"/>
      <w:marRight w:val="0"/>
      <w:marTop w:val="0"/>
      <w:marBottom w:val="0"/>
      <w:divBdr>
        <w:top w:val="none" w:sz="0" w:space="0" w:color="auto"/>
        <w:left w:val="none" w:sz="0" w:space="0" w:color="auto"/>
        <w:bottom w:val="none" w:sz="0" w:space="0" w:color="auto"/>
        <w:right w:val="none" w:sz="0" w:space="0" w:color="auto"/>
      </w:divBdr>
      <w:divsChild>
        <w:div w:id="1395086082">
          <w:marLeft w:val="547"/>
          <w:marRight w:val="0"/>
          <w:marTop w:val="134"/>
          <w:marBottom w:val="0"/>
          <w:divBdr>
            <w:top w:val="none" w:sz="0" w:space="0" w:color="auto"/>
            <w:left w:val="none" w:sz="0" w:space="0" w:color="auto"/>
            <w:bottom w:val="none" w:sz="0" w:space="0" w:color="auto"/>
            <w:right w:val="none" w:sz="0" w:space="0" w:color="auto"/>
          </w:divBdr>
        </w:div>
        <w:div w:id="891886185">
          <w:marLeft w:val="547"/>
          <w:marRight w:val="0"/>
          <w:marTop w:val="134"/>
          <w:marBottom w:val="0"/>
          <w:divBdr>
            <w:top w:val="none" w:sz="0" w:space="0" w:color="auto"/>
            <w:left w:val="none" w:sz="0" w:space="0" w:color="auto"/>
            <w:bottom w:val="none" w:sz="0" w:space="0" w:color="auto"/>
            <w:right w:val="none" w:sz="0" w:space="0" w:color="auto"/>
          </w:divBdr>
        </w:div>
        <w:div w:id="940534174">
          <w:marLeft w:val="547"/>
          <w:marRight w:val="0"/>
          <w:marTop w:val="134"/>
          <w:marBottom w:val="0"/>
          <w:divBdr>
            <w:top w:val="none" w:sz="0" w:space="0" w:color="auto"/>
            <w:left w:val="none" w:sz="0" w:space="0" w:color="auto"/>
            <w:bottom w:val="none" w:sz="0" w:space="0" w:color="auto"/>
            <w:right w:val="none" w:sz="0" w:space="0" w:color="auto"/>
          </w:divBdr>
        </w:div>
        <w:div w:id="611670776">
          <w:marLeft w:val="547"/>
          <w:marRight w:val="0"/>
          <w:marTop w:val="134"/>
          <w:marBottom w:val="0"/>
          <w:divBdr>
            <w:top w:val="none" w:sz="0" w:space="0" w:color="auto"/>
            <w:left w:val="none" w:sz="0" w:space="0" w:color="auto"/>
            <w:bottom w:val="none" w:sz="0" w:space="0" w:color="auto"/>
            <w:right w:val="none" w:sz="0" w:space="0" w:color="auto"/>
          </w:divBdr>
        </w:div>
      </w:divsChild>
    </w:div>
    <w:div w:id="212114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ducationcluster.box.com/s/1btchzgj7w4fqvmj73j1zavexwgdoqsy" TargetMode="External"/><Relationship Id="rId18" Type="http://schemas.openxmlformats.org/officeDocument/2006/relationships/hyperlink" Target="https://educationcluster.box.com/s/qssu64qdua3evb7jj6fl7lnvnh00ieha"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ducationcluster.box.com/s/j9tt4x0el8939a84slrlitgdgquf7079" TargetMode="External"/><Relationship Id="rId17" Type="http://schemas.openxmlformats.org/officeDocument/2006/relationships/hyperlink" Target="https://educationcluster.box.com/s/1btchzgj7w4fqvmj73j1zavexwgdoqsy" TargetMode="External"/><Relationship Id="rId2" Type="http://schemas.openxmlformats.org/officeDocument/2006/relationships/numbering" Target="numbering.xml"/><Relationship Id="rId16" Type="http://schemas.openxmlformats.org/officeDocument/2006/relationships/hyperlink" Target="https://educationcluster.box.com/s/sudu1pxc9j9vpz0fzi1t1qk7gljb4cu5" TargetMode="External"/><Relationship Id="rId20" Type="http://schemas.openxmlformats.org/officeDocument/2006/relationships/hyperlink" Target="https://educationcluster.box.com/s/1btchzgj7w4fqvmj73j1zavexwgdoqs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umanitarianresponse.info/sites/www.humanitarianresponse.info/files/documents/files/reporte_resumen_grupos_de_trabajo.pdf" TargetMode="External"/><Relationship Id="rId5" Type="http://schemas.openxmlformats.org/officeDocument/2006/relationships/webSettings" Target="webSettings.xml"/><Relationship Id="rId15" Type="http://schemas.openxmlformats.org/officeDocument/2006/relationships/hyperlink" Target="https://www.dropbox.com/sh/2f9s7htwfd15xht/AAC5vPoC250WA4MMxvZBvseCa/CP%20and%20Education%20Mainstreaming_General%20Guidance?dl=0&amp;preview=EDUCATION+and+Child+Protection+Integration+Checklist.docx&amp;subfolder_nav_tracking=1" TargetMode="External"/><Relationship Id="rId23" Type="http://schemas.openxmlformats.org/officeDocument/2006/relationships/theme" Target="theme/theme1.xml"/><Relationship Id="rId10" Type="http://schemas.openxmlformats.org/officeDocument/2006/relationships/hyperlink" Target="mailto:help.edcluster@humanitarianresponse.info" TargetMode="External"/><Relationship Id="rId19" Type="http://schemas.openxmlformats.org/officeDocument/2006/relationships/hyperlink" Target="https://inee.org/system/files/resources/INEE_GN_Gender_2019.pdf" TargetMode="External"/><Relationship Id="rId4" Type="http://schemas.openxmlformats.org/officeDocument/2006/relationships/settings" Target="settings.xml"/><Relationship Id="rId9" Type="http://schemas.openxmlformats.org/officeDocument/2006/relationships/hyperlink" Target="https://educationcluster.box.com/s/brpbasj75341ph0raxjpq4hnceu0azrg" TargetMode="External"/><Relationship Id="rId14" Type="http://schemas.openxmlformats.org/officeDocument/2006/relationships/hyperlink" Target="https://www.dropbox.com/sh/2f9s7htwfd15xht/AAC5vPoC250WA4MMxvZBvseCa/CP%20and%20Education%20Mainstreaming_General%20Guidance?dl=0&amp;preview=Protection+Mainstreaming+Tip+Sheet+-+Education+Programs.docx&amp;subfolder_nav_tracking=1"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https://educationcluster.box.com/s/n5m5g3gjt7r1xo0qpk9utr70wu81cof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A4365-2EC3-420A-A72C-A49930DC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Pages>
  <Words>1429</Words>
  <Characters>8149</Characters>
  <Application>Microsoft Office Word</Application>
  <DocSecurity>0</DocSecurity>
  <Lines>67</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 AoR</dc:creator>
  <cp:keywords/>
  <dc:description/>
  <cp:lastModifiedBy>Elyse Leonard</cp:lastModifiedBy>
  <cp:revision>40</cp:revision>
  <cp:lastPrinted>2020-02-13T08:37:00Z</cp:lastPrinted>
  <dcterms:created xsi:type="dcterms:W3CDTF">2021-06-23T14:57:00Z</dcterms:created>
  <dcterms:modified xsi:type="dcterms:W3CDTF">2021-08-25T09:41:00Z</dcterms:modified>
</cp:coreProperties>
</file>